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1346CC">
        <w:trPr>
          <w:jc w:val="center"/>
        </w:trPr>
        <w:tc>
          <w:tcPr>
            <w:tcW w:w="743" w:type="dxa"/>
          </w:tcPr>
          <w:p w:rsidR="00694556" w:rsidRPr="001346CC" w:rsidRDefault="001346CC" w:rsidP="001346CC">
            <w:pPr>
              <w:bidi w:val="0"/>
              <w:jc w:val="both"/>
              <w:rPr>
                <w:rFonts w:ascii="Arial" w:hAnsi="Arial"/>
                <w:b/>
                <w:bCs/>
                <w:sz w:val="26"/>
                <w:szCs w:val="26"/>
              </w:rPr>
            </w:pPr>
            <w:r>
              <w:rPr>
                <w:rFonts w:ascii="Arial" w:hAnsi="Arial" w:hint="cs"/>
                <w:b/>
                <w:bCs/>
                <w:sz w:val="26"/>
                <w:szCs w:val="26"/>
                <w:rtl/>
              </w:rPr>
              <w:t>ל</w:t>
            </w:r>
            <w:r w:rsidR="00005C8B" w:rsidRPr="001346CC">
              <w:rPr>
                <w:rFonts w:ascii="Arial" w:hAnsi="Arial"/>
                <w:b/>
                <w:bCs/>
                <w:sz w:val="26"/>
                <w:szCs w:val="26"/>
                <w:rtl/>
              </w:rPr>
              <w:t xml:space="preserve">פני </w:t>
            </w:r>
          </w:p>
        </w:tc>
        <w:tc>
          <w:tcPr>
            <w:tcW w:w="8077" w:type="dxa"/>
            <w:gridSpan w:val="2"/>
          </w:tcPr>
          <w:p w:rsidR="00694556" w:rsidRDefault="00116E4D" w:rsidP="001346CC">
            <w:pPr>
              <w:rPr>
                <w:rFonts w:ascii="Arial" w:hAnsi="Arial" w:cs="FrankRuehl"/>
                <w:sz w:val="26"/>
                <w:szCs w:val="26"/>
                <w:highlight w:val="yellow"/>
                <w:rtl/>
              </w:rPr>
            </w:pPr>
            <w:r>
              <w:rPr>
                <w:rFonts w:ascii="Arial" w:hAnsi="Arial"/>
                <w:b/>
                <w:bCs/>
                <w:sz w:val="26"/>
                <w:szCs w:val="26"/>
                <w:rtl/>
              </w:rPr>
              <w:t>כב' השופט שאול שוחט, סגן נשיא</w:t>
            </w:r>
            <w:r w:rsidR="008A66E0" w:rsidRPr="008A66E0">
              <w:rPr>
                <w:rFonts w:ascii="Arial" w:hAnsi="Arial" w:hint="cs"/>
                <w:b/>
                <w:bCs/>
                <w:sz w:val="26"/>
                <w:szCs w:val="26"/>
                <w:rtl/>
              </w:rPr>
              <w:t xml:space="preserve"> </w:t>
            </w:r>
            <w:r w:rsidR="008A66E0" w:rsidRPr="008A66E0">
              <w:rPr>
                <w:rFonts w:ascii="Arial" w:hAnsi="Arial"/>
                <w:b/>
                <w:bCs/>
                <w:sz w:val="26"/>
                <w:szCs w:val="26"/>
                <w:rtl/>
              </w:rPr>
              <w:t>–</w:t>
            </w:r>
            <w:r w:rsidR="008A66E0" w:rsidRPr="008A66E0">
              <w:rPr>
                <w:rFonts w:ascii="Arial" w:hAnsi="Arial" w:hint="cs"/>
                <w:b/>
                <w:bCs/>
                <w:sz w:val="26"/>
                <w:szCs w:val="26"/>
                <w:rtl/>
              </w:rPr>
              <w:t xml:space="preserve"> אב"ד</w:t>
            </w:r>
          </w:p>
          <w:p w:rsidR="00116E4D" w:rsidRPr="00116E4D" w:rsidRDefault="008A66E0" w:rsidP="008A66E0">
            <w:pPr>
              <w:rPr>
                <w:rFonts w:ascii="Arial" w:hAnsi="Arial"/>
                <w:b/>
                <w:bCs/>
                <w:sz w:val="26"/>
                <w:szCs w:val="26"/>
                <w:rtl/>
              </w:rPr>
            </w:pPr>
            <w:r>
              <w:rPr>
                <w:rFonts w:ascii="Arial" w:hAnsi="Arial" w:hint="cs"/>
                <w:b/>
                <w:bCs/>
                <w:sz w:val="26"/>
                <w:szCs w:val="26"/>
                <w:rtl/>
              </w:rPr>
              <w:t>כב' השופט נפתלי שילה</w:t>
            </w:r>
          </w:p>
          <w:p w:rsidR="00116E4D" w:rsidRPr="001346CC" w:rsidRDefault="008A66E0" w:rsidP="001346CC">
            <w:pPr>
              <w:rPr>
                <w:rFonts w:ascii="Arial" w:hAnsi="Arial" w:cs="FrankRuehl"/>
                <w:sz w:val="26"/>
                <w:szCs w:val="26"/>
                <w:highlight w:val="yellow"/>
              </w:rPr>
            </w:pPr>
            <w:r>
              <w:rPr>
                <w:rFonts w:ascii="Arial" w:hAnsi="Arial" w:hint="cs"/>
                <w:b/>
                <w:bCs/>
                <w:sz w:val="26"/>
                <w:szCs w:val="26"/>
                <w:rtl/>
              </w:rPr>
              <w:t>כב' השופטת סיגל רסלר זכאי</w:t>
            </w:r>
          </w:p>
        </w:tc>
      </w:tr>
      <w:tr w:rsidR="00694556" w:rsidRPr="001346CC">
        <w:trPr>
          <w:jc w:val="center"/>
        </w:trPr>
        <w:tc>
          <w:tcPr>
            <w:tcW w:w="3249" w:type="dxa"/>
            <w:gridSpan w:val="2"/>
          </w:tcPr>
          <w:p w:rsidR="00694556" w:rsidRPr="001346CC" w:rsidRDefault="00694556">
            <w:pPr>
              <w:bidi w:val="0"/>
              <w:jc w:val="right"/>
              <w:rPr>
                <w:rFonts w:ascii="Arial" w:hAnsi="Arial"/>
                <w:b/>
                <w:bCs/>
                <w:noProof w:val="0"/>
                <w:sz w:val="26"/>
                <w:szCs w:val="26"/>
              </w:rPr>
            </w:pPr>
          </w:p>
          <w:sdt>
            <w:sdtPr>
              <w:rPr>
                <w:sz w:val="26"/>
                <w:szCs w:val="26"/>
              </w:rPr>
              <w:alias w:val="1180"/>
              <w:tag w:val="1180"/>
              <w:id w:val="-1623374073"/>
              <w:text w:multiLine="1"/>
            </w:sdtPr>
            <w:sdtEndPr/>
            <w:sdtContent>
              <w:p w:rsidR="00375371" w:rsidRDefault="001F6E08">
                <w:pPr>
                  <w:bidi w:val="0"/>
                  <w:jc w:val="right"/>
                  <w:rPr>
                    <w:rFonts w:ascii="Arial" w:hAnsi="Arial"/>
                    <w:b/>
                    <w:bCs/>
                    <w:noProof w:val="0"/>
                    <w:sz w:val="26"/>
                    <w:szCs w:val="26"/>
                    <w:rtl/>
                  </w:rPr>
                </w:pPr>
                <w:r>
                  <w:rPr>
                    <w:rFonts w:ascii="Arial" w:hAnsi="Arial"/>
                    <w:b/>
                    <w:bCs/>
                    <w:noProof w:val="0"/>
                    <w:sz w:val="26"/>
                    <w:szCs w:val="26"/>
                    <w:rtl/>
                  </w:rPr>
                  <w:t>מערערים</w:t>
                </w:r>
              </w:p>
            </w:sdtContent>
          </w:sdt>
        </w:tc>
        <w:tc>
          <w:tcPr>
            <w:tcW w:w="5571" w:type="dxa"/>
          </w:tcPr>
          <w:p w:rsidR="00694556" w:rsidRPr="001346CC" w:rsidRDefault="00694556">
            <w:pPr>
              <w:rPr>
                <w:rFonts w:ascii="Arial" w:hAnsi="Arial"/>
                <w:b/>
                <w:bCs/>
                <w:noProof w:val="0"/>
                <w:sz w:val="26"/>
                <w:szCs w:val="26"/>
                <w:rtl/>
              </w:rPr>
            </w:pPr>
          </w:p>
          <w:p w:rsidR="003506A5" w:rsidRDefault="00912BF6" w:rsidP="008A66E0">
            <w:pPr>
              <w:rPr>
                <w:sz w:val="26"/>
                <w:szCs w:val="26"/>
                <w:rtl/>
              </w:rPr>
            </w:pPr>
            <w:sdt>
              <w:sdtPr>
                <w:rPr>
                  <w:sz w:val="26"/>
                  <w:szCs w:val="26"/>
                  <w:rtl/>
                </w:rPr>
                <w:alias w:val="1478"/>
                <w:tag w:val="1478"/>
                <w:id w:val="-199099103"/>
                <w:text w:multiLine="1"/>
              </w:sdtPr>
              <w:sdtEndPr/>
              <w:sdtContent>
                <w:r w:rsidR="008A66E0">
                  <w:rPr>
                    <w:rFonts w:ascii="Arial" w:hAnsi="Arial" w:hint="cs"/>
                    <w:b/>
                    <w:bCs/>
                    <w:noProof w:val="0"/>
                    <w:sz w:val="26"/>
                    <w:szCs w:val="26"/>
                    <w:rtl/>
                  </w:rPr>
                  <w:t>ש' ש'</w:t>
                </w:r>
              </w:sdtContent>
            </w:sdt>
          </w:p>
          <w:p w:rsidR="00694556" w:rsidRPr="001346CC" w:rsidRDefault="008A66E0">
            <w:pPr>
              <w:rPr>
                <w:b/>
                <w:bCs/>
                <w:noProof w:val="0"/>
                <w:sz w:val="26"/>
                <w:szCs w:val="26"/>
              </w:rPr>
            </w:pPr>
            <w:r>
              <w:rPr>
                <w:rFonts w:hint="cs"/>
                <w:sz w:val="26"/>
                <w:szCs w:val="26"/>
                <w:rtl/>
              </w:rPr>
              <w:t xml:space="preserve">ע"י ב"כ עו"ד </w:t>
            </w:r>
            <w:r w:rsidRPr="008A66E0">
              <w:rPr>
                <w:noProof w:val="0"/>
                <w:sz w:val="26"/>
                <w:szCs w:val="26"/>
                <w:rtl/>
              </w:rPr>
              <w:t>דניאל ארנסט, עו"ד חיים שטרן, עו"ד שרי וייס, עו"ד אור סיסמה</w:t>
            </w:r>
          </w:p>
        </w:tc>
      </w:tr>
      <w:tr w:rsidR="00694556" w:rsidRPr="001346CC">
        <w:trPr>
          <w:jc w:val="center"/>
        </w:trPr>
        <w:tc>
          <w:tcPr>
            <w:tcW w:w="8820" w:type="dxa"/>
            <w:gridSpan w:val="3"/>
          </w:tcPr>
          <w:p w:rsidR="00694556" w:rsidRPr="001346CC" w:rsidRDefault="00694556">
            <w:pPr>
              <w:rPr>
                <w:rFonts w:ascii="Arial" w:hAnsi="Arial"/>
                <w:b/>
                <w:bCs/>
                <w:noProof w:val="0"/>
                <w:sz w:val="26"/>
                <w:szCs w:val="26"/>
                <w:rtl/>
              </w:rPr>
            </w:pPr>
          </w:p>
          <w:p w:rsidR="00694556" w:rsidRPr="001346CC" w:rsidRDefault="00005C8B" w:rsidP="008A66E0">
            <w:pPr>
              <w:jc w:val="center"/>
              <w:rPr>
                <w:rFonts w:ascii="Arial" w:hAnsi="Arial"/>
                <w:b/>
                <w:bCs/>
                <w:noProof w:val="0"/>
                <w:sz w:val="26"/>
                <w:szCs w:val="26"/>
              </w:rPr>
            </w:pPr>
            <w:r w:rsidRPr="001346CC">
              <w:rPr>
                <w:rFonts w:ascii="Arial" w:hAnsi="Arial"/>
                <w:b/>
                <w:bCs/>
                <w:noProof w:val="0"/>
                <w:sz w:val="26"/>
                <w:szCs w:val="26"/>
                <w:rtl/>
              </w:rPr>
              <w:t>נגד</w:t>
            </w:r>
          </w:p>
        </w:tc>
      </w:tr>
      <w:tr w:rsidR="00694556" w:rsidRPr="001346CC">
        <w:trPr>
          <w:jc w:val="center"/>
        </w:trPr>
        <w:tc>
          <w:tcPr>
            <w:tcW w:w="3249" w:type="dxa"/>
            <w:gridSpan w:val="2"/>
          </w:tcPr>
          <w:p w:rsidR="00694556" w:rsidRPr="001346CC" w:rsidRDefault="00694556">
            <w:pPr>
              <w:rPr>
                <w:rFonts w:ascii="Arial" w:hAnsi="Arial"/>
                <w:b/>
                <w:bCs/>
                <w:noProof w:val="0"/>
                <w:sz w:val="26"/>
                <w:szCs w:val="26"/>
                <w:rtl/>
              </w:rPr>
            </w:pPr>
          </w:p>
          <w:p w:rsidR="00694556" w:rsidRPr="001346CC" w:rsidRDefault="00912BF6">
            <w:pPr>
              <w:rPr>
                <w:rFonts w:ascii="Arial" w:hAnsi="Arial"/>
                <w:b/>
                <w:bCs/>
                <w:noProof w:val="0"/>
                <w:sz w:val="26"/>
                <w:szCs w:val="26"/>
              </w:rPr>
            </w:pPr>
            <w:sdt>
              <w:sdtPr>
                <w:rPr>
                  <w:sz w:val="26"/>
                  <w:szCs w:val="26"/>
                  <w:rtl/>
                </w:rPr>
                <w:alias w:val="1184"/>
                <w:tag w:val="1184"/>
                <w:id w:val="-310096844"/>
                <w:text w:multiLine="1"/>
              </w:sdtPr>
              <w:sdtEndPr/>
              <w:sdtContent>
                <w:r w:rsidR="00FB7194">
                  <w:rPr>
                    <w:rFonts w:ascii="Arial" w:hAnsi="Arial"/>
                    <w:b/>
                    <w:bCs/>
                    <w:noProof w:val="0"/>
                    <w:sz w:val="26"/>
                    <w:szCs w:val="26"/>
                    <w:rtl/>
                  </w:rPr>
                  <w:t>משיבים</w:t>
                </w:r>
              </w:sdtContent>
            </w:sdt>
          </w:p>
        </w:tc>
        <w:tc>
          <w:tcPr>
            <w:tcW w:w="5571" w:type="dxa"/>
          </w:tcPr>
          <w:p w:rsidR="00694556" w:rsidRPr="001346CC" w:rsidRDefault="00694556">
            <w:pPr>
              <w:rPr>
                <w:rFonts w:ascii="Arial" w:hAnsi="Arial"/>
                <w:b/>
                <w:bCs/>
                <w:noProof w:val="0"/>
                <w:sz w:val="26"/>
                <w:szCs w:val="26"/>
                <w:rtl/>
              </w:rPr>
            </w:pPr>
          </w:p>
          <w:p w:rsidR="00694556" w:rsidRPr="008A66E0" w:rsidRDefault="00912BF6" w:rsidP="008A66E0">
            <w:pPr>
              <w:rPr>
                <w:sz w:val="26"/>
                <w:szCs w:val="26"/>
                <w:rtl/>
              </w:rPr>
            </w:pPr>
            <w:sdt>
              <w:sdtPr>
                <w:rPr>
                  <w:sz w:val="26"/>
                  <w:szCs w:val="26"/>
                  <w:rtl/>
                </w:rPr>
                <w:alias w:val="1571"/>
                <w:tag w:val="1571"/>
                <w:id w:val="-942837867"/>
                <w:text w:multiLine="1"/>
              </w:sdtPr>
              <w:sdtEndPr/>
              <w:sdtContent>
                <w:r w:rsidR="00FB7194">
                  <w:rPr>
                    <w:rFonts w:ascii="Arial" w:hAnsi="Arial"/>
                    <w:b/>
                    <w:bCs/>
                    <w:noProof w:val="0"/>
                    <w:sz w:val="26"/>
                    <w:szCs w:val="26"/>
                    <w:rtl/>
                  </w:rPr>
                  <w:t>1</w:t>
                </w:r>
              </w:sdtContent>
            </w:sdt>
            <w:r w:rsidR="00C22D93" w:rsidRPr="001346CC">
              <w:rPr>
                <w:rFonts w:ascii="Arial" w:hAnsi="Arial"/>
                <w:b/>
                <w:bCs/>
                <w:noProof w:val="0"/>
                <w:sz w:val="26"/>
                <w:szCs w:val="26"/>
                <w:rtl/>
              </w:rPr>
              <w:t>.</w:t>
            </w:r>
            <w:sdt>
              <w:sdtPr>
                <w:rPr>
                  <w:sz w:val="26"/>
                  <w:szCs w:val="26"/>
                  <w:rtl/>
                </w:rPr>
                <w:alias w:val="1486"/>
                <w:tag w:val="1486"/>
                <w:id w:val="960070400"/>
                <w:text w:multiLine="1"/>
              </w:sdtPr>
              <w:sdtEndPr/>
              <w:sdtContent>
                <w:r w:rsidR="008A66E0">
                  <w:rPr>
                    <w:rFonts w:ascii="Arial" w:hAnsi="Arial" w:hint="cs"/>
                    <w:b/>
                    <w:bCs/>
                    <w:noProof w:val="0"/>
                    <w:sz w:val="26"/>
                    <w:szCs w:val="26"/>
                    <w:rtl/>
                  </w:rPr>
                  <w:t>י' א'</w:t>
                </w:r>
              </w:sdtContent>
            </w:sdt>
          </w:p>
          <w:p w:rsidR="003506A5" w:rsidRDefault="00912BF6" w:rsidP="008A66E0">
            <w:pPr>
              <w:rPr>
                <w:sz w:val="26"/>
                <w:szCs w:val="26"/>
                <w:rtl/>
              </w:rPr>
            </w:pPr>
            <w:sdt>
              <w:sdtPr>
                <w:rPr>
                  <w:sz w:val="26"/>
                  <w:szCs w:val="26"/>
                  <w:rtl/>
                </w:rPr>
                <w:alias w:val="1571"/>
                <w:tag w:val="1571"/>
                <w:id w:val="-499276210"/>
                <w:text w:multiLine="1"/>
              </w:sdtPr>
              <w:sdtEndPr/>
              <w:sdtContent>
                <w:r w:rsidR="00FB7194">
                  <w:rPr>
                    <w:rFonts w:ascii="Arial" w:hAnsi="Arial"/>
                    <w:b/>
                    <w:bCs/>
                    <w:noProof w:val="0"/>
                    <w:sz w:val="26"/>
                    <w:szCs w:val="26"/>
                    <w:rtl/>
                  </w:rPr>
                  <w:t>2</w:t>
                </w:r>
              </w:sdtContent>
            </w:sdt>
            <w:r w:rsidR="00C22D93" w:rsidRPr="001346CC">
              <w:rPr>
                <w:rFonts w:ascii="Arial" w:hAnsi="Arial"/>
                <w:b/>
                <w:bCs/>
                <w:noProof w:val="0"/>
                <w:sz w:val="26"/>
                <w:szCs w:val="26"/>
                <w:rtl/>
              </w:rPr>
              <w:t>.</w:t>
            </w:r>
            <w:sdt>
              <w:sdtPr>
                <w:rPr>
                  <w:sz w:val="26"/>
                  <w:szCs w:val="26"/>
                  <w:rtl/>
                </w:rPr>
                <w:alias w:val="1486"/>
                <w:tag w:val="1486"/>
                <w:id w:val="-715118480"/>
                <w:text w:multiLine="1"/>
              </w:sdtPr>
              <w:sdtEndPr/>
              <w:sdtContent>
                <w:r w:rsidR="008A66E0">
                  <w:rPr>
                    <w:rFonts w:ascii="Arial" w:hAnsi="Arial" w:hint="cs"/>
                    <w:b/>
                    <w:bCs/>
                    <w:noProof w:val="0"/>
                    <w:sz w:val="26"/>
                    <w:szCs w:val="26"/>
                    <w:rtl/>
                  </w:rPr>
                  <w:t>י' ע'</w:t>
                </w:r>
              </w:sdtContent>
            </w:sdt>
          </w:p>
          <w:p w:rsidR="00694556" w:rsidRPr="001346CC" w:rsidRDefault="008A66E0">
            <w:pPr>
              <w:rPr>
                <w:b/>
                <w:bCs/>
                <w:noProof w:val="0"/>
                <w:sz w:val="26"/>
                <w:szCs w:val="26"/>
                <w:rtl/>
              </w:rPr>
            </w:pPr>
            <w:r>
              <w:rPr>
                <w:rFonts w:hint="cs"/>
                <w:sz w:val="26"/>
                <w:szCs w:val="26"/>
                <w:rtl/>
              </w:rPr>
              <w:t>ע"י ב"כ עו"ד בועז וברק קראוס</w:t>
            </w:r>
          </w:p>
        </w:tc>
      </w:tr>
    </w:tbl>
    <w:p w:rsidR="00694556" w:rsidRDefault="00694556" w:rsidP="008023D9">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5E2E46" w:rsidP="008A66E0">
            <w:pPr>
              <w:bidi w:val="0"/>
              <w:spacing w:after="24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8A66E0" w:rsidRPr="001F6E08" w:rsidRDefault="008A66E0" w:rsidP="001F6E08">
      <w:pPr>
        <w:pStyle w:val="Ruller4"/>
        <w:spacing w:after="240"/>
        <w:rPr>
          <w:rFonts w:ascii="David" w:hAnsi="David" w:cs="David"/>
          <w:sz w:val="24"/>
          <w:szCs w:val="24"/>
          <w:rtl/>
        </w:rPr>
      </w:pPr>
      <w:r w:rsidRPr="001F6E08">
        <w:rPr>
          <w:rFonts w:ascii="David" w:hAnsi="David" w:cs="David"/>
          <w:sz w:val="24"/>
          <w:szCs w:val="24"/>
          <w:rtl/>
        </w:rPr>
        <w:t xml:space="preserve">ערעור על פסק דינו של בית המשפט לענייני משפחה במחוז תל אביב יפו (ת"ע 21821-11-19 ; 17661-01-19 ; 17489-10-19 ; 69027-07-19 כב' הש' תמר סנונית פורר), מיום 17.8.22 (להלן: </w:t>
      </w:r>
      <w:r w:rsidRPr="001F6E08">
        <w:rPr>
          <w:rFonts w:ascii="David" w:hAnsi="David" w:cs="David"/>
          <w:b/>
          <w:bCs/>
          <w:sz w:val="24"/>
          <w:szCs w:val="24"/>
          <w:rtl/>
        </w:rPr>
        <w:t>פסק הדין</w:t>
      </w:r>
      <w:r w:rsidRPr="001F6E08">
        <w:rPr>
          <w:rFonts w:ascii="David" w:hAnsi="David" w:cs="David"/>
          <w:sz w:val="24"/>
          <w:szCs w:val="24"/>
          <w:rtl/>
        </w:rPr>
        <w:t xml:space="preserve"> ; </w:t>
      </w:r>
      <w:r w:rsidRPr="001F6E08">
        <w:rPr>
          <w:rFonts w:ascii="David" w:hAnsi="David" w:cs="David"/>
          <w:b/>
          <w:bCs/>
          <w:sz w:val="24"/>
          <w:szCs w:val="24"/>
          <w:rtl/>
        </w:rPr>
        <w:t>פסק דינו של בית משפט קמא</w:t>
      </w:r>
      <w:r w:rsidRPr="001F6E08">
        <w:rPr>
          <w:rFonts w:ascii="David" w:hAnsi="David" w:cs="David"/>
          <w:sz w:val="24"/>
          <w:szCs w:val="24"/>
          <w:rtl/>
        </w:rPr>
        <w:t>).</w:t>
      </w:r>
    </w:p>
    <w:p w:rsidR="008A66E0" w:rsidRPr="001F6E08" w:rsidRDefault="008A66E0" w:rsidP="001F6E08">
      <w:pPr>
        <w:pStyle w:val="Ruller4"/>
        <w:spacing w:after="240"/>
        <w:rPr>
          <w:rFonts w:ascii="David" w:hAnsi="David" w:cs="David"/>
          <w:b/>
          <w:bCs/>
          <w:sz w:val="24"/>
          <w:szCs w:val="24"/>
          <w:u w:val="single"/>
          <w:rtl/>
        </w:rPr>
      </w:pPr>
      <w:r w:rsidRPr="001F6E08">
        <w:rPr>
          <w:rFonts w:ascii="David" w:hAnsi="David" w:cs="David"/>
          <w:b/>
          <w:bCs/>
          <w:sz w:val="24"/>
          <w:szCs w:val="24"/>
          <w:u w:val="single"/>
          <w:rtl/>
        </w:rPr>
        <w:t>השופט שאול שוחט, סגן נשיא, אב בית הדין:</w:t>
      </w:r>
    </w:p>
    <w:p w:rsidR="008A66E0" w:rsidRPr="001F6E08" w:rsidRDefault="008A66E0" w:rsidP="001F6E08">
      <w:pPr>
        <w:pStyle w:val="Ruller4"/>
        <w:spacing w:after="240"/>
        <w:rPr>
          <w:rFonts w:ascii="David" w:hAnsi="David" w:cs="David"/>
          <w:b/>
          <w:bCs/>
          <w:sz w:val="24"/>
          <w:szCs w:val="24"/>
          <w:rtl/>
        </w:rPr>
      </w:pPr>
      <w:r w:rsidRPr="001F6E08">
        <w:rPr>
          <w:rFonts w:ascii="David" w:hAnsi="David" w:cs="David"/>
          <w:b/>
          <w:bCs/>
          <w:sz w:val="24"/>
          <w:szCs w:val="24"/>
          <w:rtl/>
        </w:rPr>
        <w:t>העובדות הצריכות לעניין</w:t>
      </w:r>
    </w:p>
    <w:p w:rsidR="008A66E0" w:rsidRPr="001F6E08" w:rsidRDefault="008A66E0" w:rsidP="001F6E08">
      <w:pPr>
        <w:pStyle w:val="Ruller4"/>
        <w:numPr>
          <w:ilvl w:val="0"/>
          <w:numId w:val="1"/>
        </w:numPr>
        <w:spacing w:after="240"/>
        <w:ind w:left="368"/>
        <w:rPr>
          <w:rFonts w:ascii="David" w:hAnsi="David" w:cs="David"/>
          <w:sz w:val="24"/>
          <w:szCs w:val="24"/>
          <w:rtl/>
        </w:rPr>
      </w:pPr>
      <w:r w:rsidRPr="001F6E08">
        <w:rPr>
          <w:rFonts w:ascii="David" w:hAnsi="David" w:cs="David"/>
          <w:sz w:val="24"/>
          <w:szCs w:val="24"/>
          <w:rtl/>
        </w:rPr>
        <w:t xml:space="preserve">המערער והמשיבות – אחים, ילדיהם של ש' ש' ז"ל (להלן: </w:t>
      </w:r>
      <w:r w:rsidRPr="001F6E08">
        <w:rPr>
          <w:rFonts w:ascii="David" w:hAnsi="David" w:cs="David"/>
          <w:b/>
          <w:bCs/>
          <w:sz w:val="24"/>
          <w:szCs w:val="24"/>
          <w:rtl/>
        </w:rPr>
        <w:t>האב</w:t>
      </w:r>
      <w:r w:rsidRPr="001F6E08">
        <w:rPr>
          <w:rFonts w:ascii="David" w:hAnsi="David" w:cs="David"/>
          <w:sz w:val="24"/>
          <w:szCs w:val="24"/>
          <w:rtl/>
        </w:rPr>
        <w:t xml:space="preserve">) ו – א' ש' ז"ל (להלן: </w:t>
      </w:r>
      <w:r w:rsidRPr="001F6E08">
        <w:rPr>
          <w:rFonts w:ascii="David" w:hAnsi="David" w:cs="David"/>
          <w:b/>
          <w:bCs/>
          <w:sz w:val="24"/>
          <w:szCs w:val="24"/>
          <w:rtl/>
        </w:rPr>
        <w:t>האם</w:t>
      </w:r>
      <w:r w:rsidRPr="001F6E08">
        <w:rPr>
          <w:rFonts w:ascii="David" w:hAnsi="David" w:cs="David"/>
          <w:sz w:val="24"/>
          <w:szCs w:val="24"/>
          <w:rtl/>
        </w:rPr>
        <w:t xml:space="preserve">) ; (להלן המערער והמשיבות: </w:t>
      </w:r>
      <w:r w:rsidRPr="001F6E08">
        <w:rPr>
          <w:rFonts w:ascii="David" w:hAnsi="David" w:cs="David"/>
          <w:b/>
          <w:bCs/>
          <w:sz w:val="24"/>
          <w:szCs w:val="24"/>
          <w:rtl/>
        </w:rPr>
        <w:t>הילדים</w:t>
      </w:r>
      <w:r w:rsidRPr="001F6E08">
        <w:rPr>
          <w:rFonts w:ascii="David" w:hAnsi="David" w:cs="David"/>
          <w:sz w:val="24"/>
          <w:szCs w:val="24"/>
          <w:rtl/>
        </w:rPr>
        <w:t>).</w:t>
      </w:r>
    </w:p>
    <w:p w:rsidR="008A66E0" w:rsidRPr="001F6E08" w:rsidRDefault="008A66E0" w:rsidP="001F6E08">
      <w:pPr>
        <w:pStyle w:val="ad"/>
        <w:numPr>
          <w:ilvl w:val="0"/>
          <w:numId w:val="1"/>
        </w:numPr>
        <w:spacing w:after="240" w:line="360" w:lineRule="auto"/>
        <w:ind w:left="369" w:hanging="357"/>
        <w:contextualSpacing w:val="0"/>
        <w:jc w:val="both"/>
        <w:rPr>
          <w:rFonts w:ascii="David" w:hAnsi="David" w:cs="David"/>
          <w:sz w:val="24"/>
          <w:szCs w:val="24"/>
        </w:rPr>
      </w:pPr>
      <w:r w:rsidRPr="001F6E08">
        <w:rPr>
          <w:rFonts w:ascii="David" w:hAnsi="David" w:cs="David"/>
          <w:sz w:val="24"/>
          <w:szCs w:val="24"/>
          <w:rtl/>
        </w:rPr>
        <w:t xml:space="preserve">ביום 17.6.2007 ערכו האב והאם (להלן: </w:t>
      </w:r>
      <w:r w:rsidRPr="001F6E08">
        <w:rPr>
          <w:rFonts w:ascii="David" w:hAnsi="David" w:cs="David"/>
          <w:b/>
          <w:bCs/>
          <w:sz w:val="24"/>
          <w:szCs w:val="24"/>
          <w:rtl/>
        </w:rPr>
        <w:t>המנוחים</w:t>
      </w:r>
      <w:r w:rsidRPr="001F6E08">
        <w:rPr>
          <w:rFonts w:ascii="David" w:hAnsi="David" w:cs="David"/>
          <w:sz w:val="24"/>
          <w:szCs w:val="24"/>
          <w:rtl/>
        </w:rPr>
        <w:t xml:space="preserve">), כל אחד, צוואה. בצוואות, שנערכו במסמכים נפרדים, נקבע כי כל אחד מהם מצווה את כל עיזבונו, כפי שיהיה לו ביום פטירתו, לאחר ואחרי פטירת האחר לילדים בחלקים הבאים: 80% למערער, 10% לכל אחת מהמשיבות (כל אחת מהצוואות מיום 17.6.2007 להלן: </w:t>
      </w:r>
      <w:r w:rsidRPr="001F6E08">
        <w:rPr>
          <w:rFonts w:ascii="David" w:hAnsi="David" w:cs="David"/>
          <w:b/>
          <w:bCs/>
          <w:sz w:val="24"/>
          <w:szCs w:val="24"/>
          <w:rtl/>
        </w:rPr>
        <w:t>הצוואה</w:t>
      </w:r>
      <w:r w:rsidRPr="001F6E08">
        <w:rPr>
          <w:rFonts w:ascii="David" w:hAnsi="David" w:cs="David"/>
          <w:sz w:val="24"/>
          <w:szCs w:val="24"/>
          <w:rtl/>
        </w:rPr>
        <w:t xml:space="preserve"> או </w:t>
      </w:r>
      <w:r w:rsidRPr="001F6E08">
        <w:rPr>
          <w:rFonts w:ascii="David" w:hAnsi="David" w:cs="David"/>
          <w:b/>
          <w:bCs/>
          <w:sz w:val="24"/>
          <w:szCs w:val="24"/>
          <w:rtl/>
        </w:rPr>
        <w:t>הצוואה מיום 17.6.2007</w:t>
      </w:r>
      <w:r w:rsidRPr="001F6E08">
        <w:rPr>
          <w:rFonts w:ascii="David" w:hAnsi="David" w:cs="David"/>
          <w:sz w:val="24"/>
          <w:szCs w:val="24"/>
          <w:rtl/>
        </w:rPr>
        <w:t>)</w:t>
      </w:r>
    </w:p>
    <w:p w:rsidR="008A66E0" w:rsidRPr="001F6E08" w:rsidRDefault="008A66E0" w:rsidP="001F6E08">
      <w:pPr>
        <w:pStyle w:val="ad"/>
        <w:numPr>
          <w:ilvl w:val="0"/>
          <w:numId w:val="1"/>
        </w:numPr>
        <w:spacing w:after="240" w:line="360" w:lineRule="auto"/>
        <w:ind w:left="369"/>
        <w:contextualSpacing w:val="0"/>
        <w:jc w:val="both"/>
        <w:rPr>
          <w:rFonts w:ascii="David" w:hAnsi="David" w:cs="David"/>
          <w:sz w:val="24"/>
          <w:szCs w:val="24"/>
        </w:rPr>
      </w:pPr>
      <w:r w:rsidRPr="001F6E08">
        <w:rPr>
          <w:rFonts w:ascii="David" w:hAnsi="David" w:cs="David"/>
          <w:sz w:val="24"/>
          <w:szCs w:val="24"/>
          <w:rtl/>
        </w:rPr>
        <w:t>ביום 10.3.2008 הלך האב לבית עולמו. ביום 18.6.2008 ניתן על ידי הרשם לענייני ירושה, לבקשת האם, צו קיום לצוואתו.</w:t>
      </w:r>
    </w:p>
    <w:p w:rsidR="008A66E0" w:rsidRPr="001F6E08" w:rsidRDefault="008A66E0" w:rsidP="001F6E08">
      <w:pPr>
        <w:pStyle w:val="ad"/>
        <w:numPr>
          <w:ilvl w:val="0"/>
          <w:numId w:val="1"/>
        </w:numPr>
        <w:spacing w:after="240" w:line="360" w:lineRule="auto"/>
        <w:ind w:left="369"/>
        <w:contextualSpacing w:val="0"/>
        <w:jc w:val="both"/>
        <w:rPr>
          <w:rFonts w:ascii="David" w:hAnsi="David" w:cs="David"/>
          <w:sz w:val="24"/>
          <w:szCs w:val="24"/>
        </w:rPr>
      </w:pPr>
      <w:r w:rsidRPr="001F6E08">
        <w:rPr>
          <w:rFonts w:ascii="David" w:hAnsi="David" w:cs="David"/>
          <w:sz w:val="24"/>
          <w:szCs w:val="24"/>
          <w:rtl/>
        </w:rPr>
        <w:t>ביום 25.11.2013, חתמה האם על תצהיר ובד בבד עשתה, באותו יום, גם צוואה חדשה. בתצהיר הצהירה האם, כי היא מסתלקת מחלקה בעיזבונו של האב על פי צוואתו, שטרם חולק,  "</w:t>
      </w:r>
      <w:r w:rsidRPr="001F6E08">
        <w:rPr>
          <w:rFonts w:ascii="David" w:hAnsi="David" w:cs="David"/>
          <w:b/>
          <w:bCs/>
          <w:sz w:val="24"/>
          <w:szCs w:val="24"/>
          <w:rtl/>
        </w:rPr>
        <w:t>וכי היא מסכימה כי יינתן צו קיום מתוקן בו אני לא אהיה יורשת</w:t>
      </w:r>
      <w:r w:rsidRPr="001F6E08">
        <w:rPr>
          <w:rFonts w:ascii="David" w:hAnsi="David" w:cs="David"/>
          <w:sz w:val="24"/>
          <w:szCs w:val="24"/>
          <w:rtl/>
        </w:rPr>
        <w:t xml:space="preserve">" (להלן: </w:t>
      </w:r>
      <w:r w:rsidRPr="001F6E08">
        <w:rPr>
          <w:rFonts w:ascii="David" w:hAnsi="David" w:cs="David"/>
          <w:b/>
          <w:bCs/>
          <w:sz w:val="24"/>
          <w:szCs w:val="24"/>
          <w:rtl/>
        </w:rPr>
        <w:t>תצהיר ההסתלקות</w:t>
      </w:r>
      <w:r w:rsidRPr="001F6E08">
        <w:rPr>
          <w:rFonts w:ascii="David" w:hAnsi="David" w:cs="David"/>
          <w:sz w:val="24"/>
          <w:szCs w:val="24"/>
          <w:rtl/>
        </w:rPr>
        <w:t xml:space="preserve">). בצוואה החדשה הורתה האם, כי היא מבטלת כל צוואה אחרת שנעשתה על ידה וכי את כל רכושה היא מצווה לשלשת הילדים בחלקים שווים ביניהם בכפוף לתניית סילוקין (להלן: </w:t>
      </w:r>
      <w:r w:rsidRPr="001F6E08">
        <w:rPr>
          <w:rFonts w:ascii="David" w:hAnsi="David" w:cs="David"/>
          <w:b/>
          <w:bCs/>
          <w:sz w:val="24"/>
          <w:szCs w:val="24"/>
          <w:rtl/>
        </w:rPr>
        <w:t>הצוואה החדשה</w:t>
      </w:r>
      <w:r w:rsidRPr="001F6E08">
        <w:rPr>
          <w:rFonts w:ascii="David" w:hAnsi="David" w:cs="David"/>
          <w:sz w:val="24"/>
          <w:szCs w:val="24"/>
          <w:rtl/>
        </w:rPr>
        <w:t xml:space="preserve">). </w:t>
      </w:r>
    </w:p>
    <w:p w:rsidR="008A66E0" w:rsidRPr="001F6E08" w:rsidRDefault="008A66E0" w:rsidP="001F6E08">
      <w:pPr>
        <w:pStyle w:val="ad"/>
        <w:numPr>
          <w:ilvl w:val="0"/>
          <w:numId w:val="1"/>
        </w:numPr>
        <w:spacing w:after="240" w:line="360" w:lineRule="auto"/>
        <w:ind w:left="369"/>
        <w:contextualSpacing w:val="0"/>
        <w:jc w:val="both"/>
        <w:rPr>
          <w:rFonts w:ascii="David" w:hAnsi="David" w:cs="David"/>
          <w:sz w:val="24"/>
          <w:szCs w:val="24"/>
        </w:rPr>
      </w:pPr>
      <w:r w:rsidRPr="001F6E08">
        <w:rPr>
          <w:rFonts w:ascii="David" w:hAnsi="David" w:cs="David"/>
          <w:sz w:val="24"/>
          <w:szCs w:val="24"/>
          <w:rtl/>
        </w:rPr>
        <w:lastRenderedPageBreak/>
        <w:t>ביום 9.2.2014 הגישה האם לרשם לענייני ירושה בקשה לתיקון צו הקיום שניתן לצוואת האב אליה צורף תצהיר ההסתלקות. בבקשה ציין בא כוחה, שגם ערך את הצוואה החדשה שלה, כי: "</w:t>
      </w:r>
      <w:r w:rsidRPr="001F6E08">
        <w:rPr>
          <w:rFonts w:ascii="David" w:hAnsi="David" w:cs="David"/>
          <w:b/>
          <w:bCs/>
          <w:sz w:val="24"/>
          <w:szCs w:val="24"/>
          <w:rtl/>
        </w:rPr>
        <w:t xml:space="preserve">עיזבונו של המנוח טרם חולק ולא נעשתה כל פעולה ו/או שינוי בעיזבונו על פי צו קיום הצוואה. [...]" </w:t>
      </w:r>
      <w:r w:rsidRPr="001F6E08">
        <w:rPr>
          <w:rFonts w:ascii="David" w:hAnsi="David" w:cs="David"/>
          <w:sz w:val="24"/>
          <w:szCs w:val="24"/>
          <w:rtl/>
        </w:rPr>
        <w:t xml:space="preserve">והודיע בשמה, כי היא </w:t>
      </w:r>
      <w:r w:rsidRPr="001F6E08">
        <w:rPr>
          <w:rFonts w:ascii="David" w:hAnsi="David" w:cs="David"/>
          <w:b/>
          <w:bCs/>
          <w:sz w:val="24"/>
          <w:szCs w:val="24"/>
          <w:rtl/>
        </w:rPr>
        <w:t xml:space="preserve">"מסתלקת מצוואת המנוח". </w:t>
      </w:r>
      <w:r w:rsidRPr="001F6E08">
        <w:rPr>
          <w:rFonts w:ascii="David" w:hAnsi="David" w:cs="David"/>
          <w:sz w:val="24"/>
          <w:szCs w:val="24"/>
          <w:rtl/>
        </w:rPr>
        <w:t>על הנסיבות שהביאו להגשת הבקשה של האם ועל התוצאה שמתבקשת מהמהלך בו נקטה ציין בא כוחה:</w:t>
      </w:r>
    </w:p>
    <w:p w:rsidR="008A66E0" w:rsidRPr="001F6E08" w:rsidRDefault="008A66E0" w:rsidP="001F6E08">
      <w:pPr>
        <w:pStyle w:val="ad"/>
        <w:spacing w:after="240" w:line="360" w:lineRule="auto"/>
        <w:ind w:left="369"/>
        <w:contextualSpacing w:val="0"/>
        <w:jc w:val="both"/>
        <w:rPr>
          <w:rFonts w:ascii="David" w:hAnsi="David" w:cs="David"/>
          <w:sz w:val="24"/>
          <w:szCs w:val="24"/>
          <w:rtl/>
        </w:rPr>
      </w:pPr>
      <w:r w:rsidRPr="001F6E08">
        <w:rPr>
          <w:rFonts w:ascii="David" w:hAnsi="David" w:cs="David"/>
          <w:sz w:val="24"/>
          <w:szCs w:val="24"/>
          <w:rtl/>
        </w:rPr>
        <w:t>"</w:t>
      </w:r>
      <w:r w:rsidRPr="001F6E08">
        <w:rPr>
          <w:rFonts w:ascii="David" w:hAnsi="David" w:cs="David"/>
          <w:b/>
          <w:bCs/>
          <w:sz w:val="24"/>
          <w:szCs w:val="24"/>
          <w:rtl/>
        </w:rPr>
        <w:t>בנסיבות אלו, יש להורות על תיקון צו קיום הצוואה שניתן ביום 18.6.08. קרי ציווי המנוח בסעיף 2 לצוואתו, לפיו המבקשת תירש את כל עיזבונו - בטל ומבוטל, ותחת זאת יש להורות בצו הקיום המתוקן כי עזבונו של המנוח יחולק בין שלשת הילדים כמפורט בצוואת המנוח. אשר על כן מתבקש כב' הרשם לתקן צו קיום הצוואה מיום 18.6.08 – להורות כי המבקשת אינה יורשת של המנוח וכי עזבונו יחולק אך ורק בין ילדיו בהתאם לחלוקה המפורטת בצוואת המנוח</w:t>
      </w:r>
      <w:r w:rsidRPr="001F6E08">
        <w:rPr>
          <w:rFonts w:ascii="David" w:hAnsi="David" w:cs="David"/>
          <w:sz w:val="24"/>
          <w:szCs w:val="24"/>
          <w:rtl/>
        </w:rPr>
        <w:t xml:space="preserve">". </w:t>
      </w:r>
    </w:p>
    <w:p w:rsidR="008A66E0" w:rsidRPr="001F6E08" w:rsidRDefault="008A66E0" w:rsidP="001F6E08">
      <w:pPr>
        <w:pStyle w:val="ad"/>
        <w:numPr>
          <w:ilvl w:val="0"/>
          <w:numId w:val="1"/>
        </w:numPr>
        <w:spacing w:after="240" w:line="360" w:lineRule="auto"/>
        <w:ind w:left="368" w:hanging="357"/>
        <w:contextualSpacing w:val="0"/>
        <w:jc w:val="both"/>
        <w:rPr>
          <w:rFonts w:ascii="David" w:hAnsi="David" w:cs="David"/>
          <w:sz w:val="24"/>
          <w:szCs w:val="24"/>
        </w:rPr>
      </w:pPr>
      <w:r w:rsidRPr="001F6E08">
        <w:rPr>
          <w:rFonts w:ascii="David" w:hAnsi="David" w:cs="David"/>
          <w:sz w:val="24"/>
          <w:szCs w:val="24"/>
          <w:rtl/>
        </w:rPr>
        <w:t xml:space="preserve">בתגובה לבקשה, כך המשיבות, נדרשה האם, ע"י הרשם לענייני ירושה, לתקן את תצהיר ההסתלקות כך שיצוין לטובת מי היא מסתלקת במפורש. במענה לדרישת הרשם לענייני ירושה האם הגישה תצהיר הסתלקות מתוקן בו ציינה שהיא מסתלקת לטובת שלשת הילדים בחלקים שווים ביניהם (להלן: </w:t>
      </w:r>
      <w:r w:rsidRPr="001F6E08">
        <w:rPr>
          <w:rFonts w:ascii="David" w:hAnsi="David" w:cs="David"/>
          <w:b/>
          <w:bCs/>
          <w:sz w:val="24"/>
          <w:szCs w:val="24"/>
          <w:rtl/>
        </w:rPr>
        <w:t>תצהיר ההסתלקות המתוקן</w:t>
      </w:r>
      <w:r w:rsidRPr="001F6E08">
        <w:rPr>
          <w:rFonts w:ascii="David" w:hAnsi="David" w:cs="David"/>
          <w:sz w:val="24"/>
          <w:szCs w:val="24"/>
          <w:rtl/>
        </w:rPr>
        <w:t>).</w:t>
      </w:r>
    </w:p>
    <w:p w:rsidR="008A66E0" w:rsidRPr="001F6E08" w:rsidRDefault="008A66E0" w:rsidP="001F6E08">
      <w:pPr>
        <w:pStyle w:val="ad"/>
        <w:numPr>
          <w:ilvl w:val="0"/>
          <w:numId w:val="1"/>
        </w:numPr>
        <w:spacing w:after="240" w:line="360" w:lineRule="auto"/>
        <w:ind w:left="368" w:hanging="357"/>
        <w:contextualSpacing w:val="0"/>
        <w:jc w:val="both"/>
        <w:rPr>
          <w:rFonts w:ascii="David" w:hAnsi="David" w:cs="David"/>
          <w:sz w:val="24"/>
          <w:szCs w:val="24"/>
        </w:rPr>
      </w:pPr>
      <w:r w:rsidRPr="001F6E08">
        <w:rPr>
          <w:rFonts w:ascii="David" w:hAnsi="David" w:cs="David"/>
          <w:sz w:val="24"/>
          <w:szCs w:val="24"/>
          <w:rtl/>
        </w:rPr>
        <w:t>בהמשך לקבלת תצהיר ההסתלקות המתוקן נתן הרשם לענייני ירושה, ביום 2.9.2014, צו קיום צוואה מתוקן לצוואת האב מיום 17.6.2007 לפיו האם "</w:t>
      </w:r>
      <w:r w:rsidRPr="001F6E08">
        <w:rPr>
          <w:rFonts w:ascii="David" w:hAnsi="David" w:cs="David"/>
          <w:b/>
          <w:bCs/>
          <w:sz w:val="24"/>
          <w:szCs w:val="24"/>
          <w:rtl/>
        </w:rPr>
        <w:t>מסתלקת מחלקה עפ"י הצוואה. חלקה עובר</w:t>
      </w:r>
      <w:r w:rsidRPr="001F6E08">
        <w:rPr>
          <w:rFonts w:ascii="David" w:hAnsi="David" w:cs="David"/>
          <w:sz w:val="24"/>
          <w:szCs w:val="24"/>
          <w:rtl/>
        </w:rPr>
        <w:t>" לשלושת הילדים (בפירוט שמותיהם) "</w:t>
      </w:r>
      <w:r w:rsidRPr="001F6E08">
        <w:rPr>
          <w:rFonts w:ascii="David" w:hAnsi="David" w:cs="David"/>
          <w:b/>
          <w:bCs/>
          <w:sz w:val="24"/>
          <w:szCs w:val="24"/>
          <w:rtl/>
        </w:rPr>
        <w:t>בחלקים שווים ביניהם</w:t>
      </w:r>
      <w:r w:rsidRPr="001F6E08">
        <w:rPr>
          <w:rFonts w:ascii="David" w:hAnsi="David" w:cs="David"/>
          <w:sz w:val="24"/>
          <w:szCs w:val="24"/>
          <w:rtl/>
        </w:rPr>
        <w:t xml:space="preserve">" (להלן: </w:t>
      </w:r>
      <w:r w:rsidRPr="001F6E08">
        <w:rPr>
          <w:rFonts w:ascii="David" w:hAnsi="David" w:cs="David"/>
          <w:b/>
          <w:bCs/>
          <w:sz w:val="24"/>
          <w:szCs w:val="24"/>
          <w:rtl/>
        </w:rPr>
        <w:t>צו קיום הצוואה המתוקן</w:t>
      </w:r>
      <w:r w:rsidRPr="001F6E08">
        <w:rPr>
          <w:rFonts w:ascii="David" w:hAnsi="David" w:cs="David"/>
          <w:sz w:val="24"/>
          <w:szCs w:val="24"/>
          <w:rtl/>
        </w:rPr>
        <w:t>).</w:t>
      </w:r>
    </w:p>
    <w:p w:rsidR="008A66E0" w:rsidRPr="001F6E08" w:rsidRDefault="008A66E0" w:rsidP="001F6E08">
      <w:pPr>
        <w:pStyle w:val="ad"/>
        <w:numPr>
          <w:ilvl w:val="0"/>
          <w:numId w:val="1"/>
        </w:numPr>
        <w:spacing w:after="240" w:line="360" w:lineRule="auto"/>
        <w:ind w:left="368" w:hanging="357"/>
        <w:contextualSpacing w:val="0"/>
        <w:jc w:val="both"/>
        <w:rPr>
          <w:rFonts w:ascii="David" w:hAnsi="David" w:cs="David"/>
          <w:sz w:val="24"/>
          <w:szCs w:val="24"/>
        </w:rPr>
      </w:pPr>
      <w:r w:rsidRPr="001F6E08">
        <w:rPr>
          <w:rFonts w:ascii="David" w:hAnsi="David" w:cs="David"/>
          <w:sz w:val="24"/>
          <w:szCs w:val="24"/>
          <w:rtl/>
        </w:rPr>
        <w:t>ביום 7.2.2018 הלכה האם לבית עולמה.</w:t>
      </w:r>
    </w:p>
    <w:p w:rsidR="008A66E0" w:rsidRPr="001F6E08" w:rsidRDefault="008A66E0" w:rsidP="001F6E08">
      <w:pPr>
        <w:pStyle w:val="ad"/>
        <w:numPr>
          <w:ilvl w:val="0"/>
          <w:numId w:val="1"/>
        </w:numPr>
        <w:spacing w:after="240" w:line="360" w:lineRule="auto"/>
        <w:ind w:left="368" w:hanging="357"/>
        <w:contextualSpacing w:val="0"/>
        <w:jc w:val="both"/>
        <w:rPr>
          <w:rFonts w:ascii="David" w:hAnsi="David" w:cs="David"/>
          <w:sz w:val="24"/>
          <w:szCs w:val="24"/>
        </w:rPr>
      </w:pPr>
      <w:r w:rsidRPr="001F6E08">
        <w:rPr>
          <w:rFonts w:ascii="David" w:hAnsi="David" w:cs="David"/>
          <w:sz w:val="24"/>
          <w:szCs w:val="24"/>
          <w:rtl/>
        </w:rPr>
        <w:t xml:space="preserve">לאחר פטירת האם הגישו המשיבות את הצוואה החדשה של האם לקיום. </w:t>
      </w:r>
    </w:p>
    <w:p w:rsidR="008A66E0" w:rsidRPr="001F6E08" w:rsidRDefault="008A66E0" w:rsidP="001F6E08">
      <w:pPr>
        <w:pStyle w:val="ad"/>
        <w:numPr>
          <w:ilvl w:val="0"/>
          <w:numId w:val="1"/>
        </w:numPr>
        <w:spacing w:after="240" w:line="360" w:lineRule="auto"/>
        <w:ind w:left="368" w:hanging="357"/>
        <w:contextualSpacing w:val="0"/>
        <w:jc w:val="both"/>
        <w:rPr>
          <w:rFonts w:ascii="David" w:hAnsi="David" w:cs="David"/>
          <w:sz w:val="24"/>
          <w:szCs w:val="24"/>
        </w:rPr>
      </w:pPr>
      <w:r w:rsidRPr="001F6E08">
        <w:rPr>
          <w:rFonts w:ascii="David" w:hAnsi="David" w:cs="David"/>
          <w:sz w:val="24"/>
          <w:szCs w:val="24"/>
          <w:rtl/>
        </w:rPr>
        <w:t>בתגובה המערער הגיש, ביום 8.1.19, התנגדות לבקשת המשיבות לקיום הצוואה החדשה של האם והגיש לקיום את צוואת האם מיום 17.6.2007.</w:t>
      </w:r>
    </w:p>
    <w:p w:rsidR="008A66E0" w:rsidRPr="001F6E08" w:rsidRDefault="008A66E0" w:rsidP="001F6E08">
      <w:pPr>
        <w:pStyle w:val="ad"/>
        <w:numPr>
          <w:ilvl w:val="0"/>
          <w:numId w:val="1"/>
        </w:numPr>
        <w:spacing w:after="240" w:line="360" w:lineRule="auto"/>
        <w:ind w:left="368" w:hanging="357"/>
        <w:contextualSpacing w:val="0"/>
        <w:jc w:val="both"/>
        <w:rPr>
          <w:rFonts w:ascii="David" w:hAnsi="David" w:cs="David"/>
          <w:sz w:val="24"/>
          <w:szCs w:val="24"/>
        </w:rPr>
      </w:pPr>
      <w:r w:rsidRPr="001F6E08">
        <w:rPr>
          <w:rFonts w:ascii="David" w:hAnsi="David" w:cs="David"/>
          <w:sz w:val="24"/>
          <w:szCs w:val="24"/>
          <w:rtl/>
        </w:rPr>
        <w:t>ביום 1.5.19 המערער הגיש את הבקשה לביטול צו קיום הצוואה המתוקן של האב.</w:t>
      </w:r>
    </w:p>
    <w:p w:rsidR="008A66E0" w:rsidRPr="001F6E08" w:rsidRDefault="008A66E0" w:rsidP="001F6E08">
      <w:pPr>
        <w:pStyle w:val="Ruller4"/>
        <w:spacing w:after="240"/>
        <w:rPr>
          <w:rFonts w:ascii="David" w:hAnsi="David" w:cs="David"/>
          <w:b/>
          <w:bCs/>
          <w:sz w:val="24"/>
          <w:szCs w:val="24"/>
          <w:rtl/>
        </w:rPr>
      </w:pPr>
      <w:r w:rsidRPr="001F6E08">
        <w:rPr>
          <w:rFonts w:ascii="David" w:hAnsi="David" w:cs="David"/>
          <w:b/>
          <w:bCs/>
          <w:sz w:val="24"/>
          <w:szCs w:val="24"/>
          <w:rtl/>
        </w:rPr>
        <w:t>פסק הדין של בית משפט קמא</w:t>
      </w:r>
    </w:p>
    <w:p w:rsidR="008A66E0" w:rsidRPr="001F6E08" w:rsidRDefault="008A66E0" w:rsidP="001F6E08">
      <w:pPr>
        <w:pStyle w:val="ad"/>
        <w:numPr>
          <w:ilvl w:val="0"/>
          <w:numId w:val="1"/>
        </w:numPr>
        <w:spacing w:after="240" w:line="360" w:lineRule="auto"/>
        <w:ind w:left="369"/>
        <w:contextualSpacing w:val="0"/>
        <w:jc w:val="both"/>
        <w:rPr>
          <w:rFonts w:ascii="David" w:hAnsi="David" w:cs="David"/>
          <w:sz w:val="24"/>
          <w:szCs w:val="24"/>
          <w:rtl/>
        </w:rPr>
      </w:pPr>
      <w:r w:rsidRPr="001F6E08">
        <w:rPr>
          <w:rFonts w:ascii="David" w:hAnsi="David" w:cs="David"/>
          <w:sz w:val="24"/>
          <w:szCs w:val="24"/>
          <w:rtl/>
        </w:rPr>
        <w:t>בית משפט קמא דחה את בקשת המערער לביטול צו קיום הצוואה המתוקן של האב תוך הכשרת הסתלקות האם מחלקה בעיזבון האב, דחה את התנגדות המערער לבקשת המשיבות לקיום הצוואה החדשה והורה על קיומה:</w:t>
      </w:r>
    </w:p>
    <w:p w:rsidR="008A66E0" w:rsidRPr="001F6E08" w:rsidRDefault="008A66E0" w:rsidP="001F6E08">
      <w:pPr>
        <w:pStyle w:val="Ruller4"/>
        <w:numPr>
          <w:ilvl w:val="0"/>
          <w:numId w:val="2"/>
        </w:numPr>
        <w:spacing w:after="240"/>
        <w:ind w:left="793" w:hanging="425"/>
        <w:rPr>
          <w:rFonts w:ascii="David" w:hAnsi="David" w:cs="David"/>
          <w:sz w:val="24"/>
          <w:szCs w:val="24"/>
        </w:rPr>
      </w:pPr>
      <w:r w:rsidRPr="001F6E08">
        <w:rPr>
          <w:rFonts w:ascii="David" w:hAnsi="David" w:cs="David"/>
          <w:sz w:val="24"/>
          <w:szCs w:val="24"/>
          <w:u w:val="single"/>
          <w:rtl/>
        </w:rPr>
        <w:lastRenderedPageBreak/>
        <w:t>לבקשה לביטול צו קיום הצוואה המתוקן</w:t>
      </w:r>
      <w:r w:rsidRPr="001F6E08">
        <w:rPr>
          <w:rFonts w:ascii="David" w:hAnsi="David" w:cs="David"/>
          <w:sz w:val="24"/>
          <w:szCs w:val="24"/>
          <w:rtl/>
        </w:rPr>
        <w:t xml:space="preserve"> - בית משפט קמא קבע כי המערער לא עמד בנטל הנדרש על פי ס' 72(א) לחוק הירושה תשכ"ה – 1965 (להלן: </w:t>
      </w:r>
      <w:r w:rsidRPr="001F6E08">
        <w:rPr>
          <w:rFonts w:ascii="David" w:hAnsi="David" w:cs="David"/>
          <w:b/>
          <w:bCs/>
          <w:sz w:val="24"/>
          <w:szCs w:val="24"/>
          <w:rtl/>
        </w:rPr>
        <w:t>חוק הירושה</w:t>
      </w:r>
      <w:r w:rsidRPr="001F6E08">
        <w:rPr>
          <w:rFonts w:ascii="David" w:hAnsi="David" w:cs="David"/>
          <w:sz w:val="24"/>
          <w:szCs w:val="24"/>
          <w:rtl/>
        </w:rPr>
        <w:t>) להוכיח כי היו עובדות או טענות שלא היו לפני הרשם לענייני ירושה לעת מתן צו קיום הצוואה המתוקן של האב (ס' 137 לפסק הדין) ; הרושם שנוצר לאחר שמיעת הראיות הוא שהמערער ידע על קיומו של צו קיום הצוואה המתוקן של האב (ס' 150 ו - 159 לפסק הדין) ולמצער נותרה עמימות לגבי ידיעתו על התיקון (ס' 145 לפסק הדין); גם אם לא ידע על קיומו של צו קיום הצוואה המתוקן וגם אם תידחה הטענה כי הבקשה לביטול הוגשה בשיהוי אין בכך כדי להביא לביטולו שכן המנוחה עמדה בכללי חוק הירושה בכל הנוגע "</w:t>
      </w:r>
      <w:r w:rsidRPr="001F6E08">
        <w:rPr>
          <w:rFonts w:ascii="David" w:hAnsi="David" w:cs="David"/>
          <w:b/>
          <w:bCs/>
          <w:sz w:val="24"/>
          <w:szCs w:val="24"/>
          <w:rtl/>
        </w:rPr>
        <w:t>לשינוי מהורשה על פי דין ועריכת צוואה וביטולה לרבות צוואה הדדית</w:t>
      </w:r>
      <w:r w:rsidRPr="001F6E08">
        <w:rPr>
          <w:rFonts w:ascii="David" w:hAnsi="David" w:cs="David"/>
          <w:sz w:val="24"/>
          <w:szCs w:val="24"/>
          <w:rtl/>
        </w:rPr>
        <w:t>" (ס' 149 לפסק דין). בהתאם להוראות חוק הירושה "</w:t>
      </w:r>
      <w:r w:rsidRPr="001F6E08">
        <w:rPr>
          <w:rFonts w:ascii="David" w:hAnsi="David" w:cs="David"/>
          <w:b/>
          <w:bCs/>
          <w:sz w:val="24"/>
          <w:szCs w:val="24"/>
          <w:rtl/>
        </w:rPr>
        <w:t>יכלה המנוחה להסתלק לטובת ילדיו של המנוח, בדיוק כפי שעשתה. בצו המתוקן צוינה מפורשות מהות הסתלקותה של המנוחה: המנוחה הסתלקה מכל חלקה עפ"י הצוואה לטובת שלשת ילדיה בחלקים שווים ביניהם</w:t>
      </w:r>
      <w:r w:rsidRPr="001F6E08">
        <w:rPr>
          <w:rFonts w:ascii="David" w:hAnsi="David" w:cs="David"/>
          <w:sz w:val="24"/>
          <w:szCs w:val="24"/>
          <w:rtl/>
        </w:rPr>
        <w:t xml:space="preserve">" (ס' 168 לפסק הדין) ולמערער אין זכות עמידה להתנגד לביצוע פעולה זו (ס' 159 לפסק הדין). </w:t>
      </w:r>
    </w:p>
    <w:p w:rsidR="008A66E0" w:rsidRPr="001F6E08" w:rsidRDefault="008A66E0" w:rsidP="001F6E08">
      <w:pPr>
        <w:pStyle w:val="ad"/>
        <w:numPr>
          <w:ilvl w:val="0"/>
          <w:numId w:val="2"/>
        </w:numPr>
        <w:spacing w:after="240" w:line="360" w:lineRule="auto"/>
        <w:ind w:left="794" w:hanging="425"/>
        <w:contextualSpacing w:val="0"/>
        <w:jc w:val="both"/>
        <w:rPr>
          <w:rFonts w:ascii="David" w:hAnsi="David" w:cs="David"/>
          <w:sz w:val="24"/>
          <w:szCs w:val="24"/>
          <w:rtl/>
        </w:rPr>
      </w:pPr>
      <w:r w:rsidRPr="001F6E08">
        <w:rPr>
          <w:rFonts w:ascii="David" w:hAnsi="David" w:cs="David"/>
          <w:sz w:val="24"/>
          <w:szCs w:val="24"/>
          <w:u w:val="single"/>
          <w:rtl/>
        </w:rPr>
        <w:t>להכשרת הסתלקות האם על פי תצהיר ההסתלקות המתוקן</w:t>
      </w:r>
      <w:r w:rsidRPr="001F6E08">
        <w:rPr>
          <w:rFonts w:ascii="David" w:hAnsi="David" w:cs="David"/>
          <w:sz w:val="24"/>
          <w:szCs w:val="24"/>
          <w:rtl/>
        </w:rPr>
        <w:t xml:space="preserve"> – האם הייתה כשירה לעת החתימה על תצהיר ההסתלקות המתוקן (ס' 204 לפסק הדין) ; האב ציווה בצוואתו כי בעת פטירתו יעברו כל נכסיו</w:t>
      </w:r>
      <w:r w:rsidRPr="001F6E08">
        <w:rPr>
          <w:rFonts w:ascii="David" w:hAnsi="David" w:cs="David"/>
          <w:b/>
          <w:bCs/>
          <w:sz w:val="24"/>
          <w:szCs w:val="24"/>
          <w:rtl/>
        </w:rPr>
        <w:t xml:space="preserve"> </w:t>
      </w:r>
      <w:r w:rsidRPr="001F6E08">
        <w:rPr>
          <w:rFonts w:ascii="David" w:hAnsi="David" w:cs="David"/>
          <w:sz w:val="24"/>
          <w:szCs w:val="24"/>
          <w:rtl/>
        </w:rPr>
        <w:t xml:space="preserve">לאשתו, האם, ורק לאחר פטירתה יחולקו נכסיו בין הילדים בצורה לא שוויונית. הפרשנות הלשונית של צוואות האב והאם הינה כי ההורשה הבלתי שווה מתרחשת רק לאחר פטירת בן הזוג הנותר בחיים, לענייננו האם. חוק הירושה אינו קובע כי עם הסתלקות בן הזוג הנותר בחיים יראו את ההסתלקות כפטירה על כל המשתמע מכך. על כן הפרשנות המבוקשת על ידי המבקש – לא רק שאינה עולה בקנה אחד עם פרשנות צוואת האב אלא גם אינה עולה מפרשנות חוק הירושה (ס' 192 – 191 לפסק הדין); המחוקק היה ער למיוחדות ולמורכבות של הסדר הצוואות ההדדיות ועל כן נקבע הסדר המייחס הסתמכות הדדית של הצדדים. בהתאם לכך נקבע כי צד שחוזר בו מהצוואה ההדדית לא ייהנה מזכויות בצוואת בן זוגו. עיקרון זה נשמר בענייננו במלואו. האם </w:t>
      </w:r>
      <w:r w:rsidRPr="001F6E08">
        <w:rPr>
          <w:rFonts w:ascii="David" w:hAnsi="David" w:cs="David"/>
          <w:sz w:val="24"/>
          <w:szCs w:val="24"/>
          <w:u w:val="single"/>
          <w:rtl/>
        </w:rPr>
        <w:t>לא קיבלה</w:t>
      </w:r>
      <w:r w:rsidRPr="001F6E08">
        <w:rPr>
          <w:rFonts w:ascii="David" w:hAnsi="David" w:cs="David"/>
          <w:sz w:val="24"/>
          <w:szCs w:val="24"/>
          <w:rtl/>
        </w:rPr>
        <w:t xml:space="preserve"> את נכסי האב, ובמקום זאת הסתלקה בהתאם לחוק הירושה לטובת ילדי הצדדים (הדגשות במקור. ס' 193 לפסק הדין) ; חוק הירושה </w:t>
      </w:r>
      <w:r w:rsidRPr="001F6E08">
        <w:rPr>
          <w:rFonts w:ascii="David" w:hAnsi="David" w:cs="David"/>
          <w:sz w:val="24"/>
          <w:szCs w:val="24"/>
          <w:u w:val="single"/>
          <w:rtl/>
        </w:rPr>
        <w:t>לא שלל</w:t>
      </w:r>
      <w:r w:rsidRPr="001F6E08">
        <w:rPr>
          <w:rFonts w:ascii="David" w:hAnsi="David" w:cs="David"/>
          <w:sz w:val="24"/>
          <w:szCs w:val="24"/>
          <w:rtl/>
        </w:rPr>
        <w:t xml:space="preserve"> (הדגשה במקור) אפשרות להסתלקות גם במצב תיאורטי שבו האב היה מוריש את כל רכושו רק לאם ללא הוראות של יורש אחר יורש. במצב זה – שלא נשלל על פי החוק – הסתלקותה של האם לטובת הילדים, זכות המוקנית לה על פי חוק, מובילה לחלוקה על פי רצונה שלה. ייתכן כי יש מקום לחשיבה מחודשת של המחוקק בעניין זה מאחר והדבר מוביל במצבים מסוימים למצב שבו האם אמנם מסתלקת מכל שירשה אך יש בהסתלקותה לקבוע כי החלוקה הינה על פי דין, שעה שהאב לא קבע חלוקה שכזו בצוואתו. אולם בעת הזו לא זו לשון החוק (ס' 195 לפסק הדין); על כן גם אם ניתן להבין את אכזבתו של המערער מהסתלקותה של האם, אין לו זכות מוגנת או הסתמכות </w:t>
      </w:r>
      <w:r w:rsidRPr="001F6E08">
        <w:rPr>
          <w:rFonts w:ascii="David" w:hAnsi="David" w:cs="David"/>
          <w:sz w:val="24"/>
          <w:szCs w:val="24"/>
          <w:rtl/>
        </w:rPr>
        <w:lastRenderedPageBreak/>
        <w:t>שמוגנת על פי חוק, על פיה הוא יכול כעת לדרוש את ביטול הסתלקותה. למערער אין אינטרס בר הגנה שיכול למנוע מהאם להסתלק מחלקה בצוואת האב (ס' 196 לפסק הדין).</w:t>
      </w:r>
    </w:p>
    <w:p w:rsidR="008A66E0" w:rsidRPr="001F6E08" w:rsidRDefault="008A66E0" w:rsidP="001F6E08">
      <w:pPr>
        <w:pStyle w:val="ad"/>
        <w:numPr>
          <w:ilvl w:val="0"/>
          <w:numId w:val="2"/>
        </w:numPr>
        <w:spacing w:after="240" w:line="360" w:lineRule="auto"/>
        <w:ind w:left="794" w:hanging="425"/>
        <w:contextualSpacing w:val="0"/>
        <w:jc w:val="both"/>
        <w:rPr>
          <w:rFonts w:ascii="David" w:hAnsi="David" w:cs="David"/>
          <w:sz w:val="24"/>
          <w:szCs w:val="24"/>
        </w:rPr>
      </w:pPr>
      <w:r w:rsidRPr="001F6E08">
        <w:rPr>
          <w:rFonts w:ascii="David" w:hAnsi="David" w:cs="David"/>
          <w:sz w:val="24"/>
          <w:szCs w:val="24"/>
          <w:u w:val="single"/>
          <w:rtl/>
        </w:rPr>
        <w:t>לדחיית ההתנגדות של המערער לצוואה המאוחרת וההוראה לקיומה</w:t>
      </w:r>
      <w:r w:rsidRPr="001F6E08">
        <w:rPr>
          <w:rFonts w:ascii="David" w:hAnsi="David" w:cs="David"/>
          <w:sz w:val="24"/>
          <w:szCs w:val="24"/>
          <w:rtl/>
        </w:rPr>
        <w:t xml:space="preserve"> – האם ידעה להבחין בטיבה של צוואה לעת עשיית הצוואה המאוחרת וזו לא נעשתה תחת השפעה בלתי הוגנת (ס' 70, 94 לפסק הדין) ; האם פעלה </w:t>
      </w:r>
      <w:r w:rsidRPr="001F6E08">
        <w:rPr>
          <w:rFonts w:ascii="David" w:hAnsi="David" w:cs="David"/>
          <w:b/>
          <w:bCs/>
          <w:sz w:val="24"/>
          <w:szCs w:val="24"/>
          <w:rtl/>
        </w:rPr>
        <w:t>"בדיוק בהתאם</w:t>
      </w:r>
      <w:r w:rsidRPr="001F6E08">
        <w:rPr>
          <w:rFonts w:ascii="David" w:hAnsi="David" w:cs="David"/>
          <w:sz w:val="24"/>
          <w:szCs w:val="24"/>
          <w:rtl/>
        </w:rPr>
        <w:t>" למנגנון שקבוע בחוק הירושה "</w:t>
      </w:r>
      <w:r w:rsidRPr="001F6E08">
        <w:rPr>
          <w:rFonts w:ascii="David" w:hAnsi="David" w:cs="David"/>
          <w:b/>
          <w:bCs/>
          <w:sz w:val="24"/>
          <w:szCs w:val="24"/>
          <w:rtl/>
        </w:rPr>
        <w:t>על מנת שתוכל לערוך צוואה חדשה המאוחרת לצוואה ההדדית</w:t>
      </w:r>
      <w:r w:rsidRPr="001F6E08">
        <w:rPr>
          <w:rFonts w:ascii="David" w:hAnsi="David" w:cs="David"/>
          <w:sz w:val="24"/>
          <w:szCs w:val="24"/>
          <w:rtl/>
        </w:rPr>
        <w:t>"  (ס' 73, 76 לפסק הדין) ; ההסתמכות בעת עריכת צוואה הדדית מתייחסת לבני הזוג ולא לילדיהם ולא ליורשים אחרים בצוואות ההדדיות. על כן שעה שהמנוחה פעלה כפי שמתיר לה חוק הירושה, אין למתנגד עילה ואין לו זכות להתנגד לפעולה המשפטית שבוצעה על ידה (ס' 80 לפסק הדין). המתנגד אינו יכול לטעון במצב זה כי זכותו נפגעת מאחר ואין ליורש פוטנציאלי זכות שיש להגן עליה (ס' 81 לפסק הדין) ; המחוקק עיגן את הזכות לשנות צוואה הדדית בסייגים ובהוראות שנקבעו בחוק. שעה שהמנוחה פעלה על פיהם היא חופשיה לצוות כפי שהיא רוצה. גם אם הדבר אינו עולה בקנה אחד עם רצונו של מי מיורשיה על פי דין ובפרט גם אם הדבר אינו עולה בקנה אחד עם בן זוגה שנפטר (ס' 82 לפסק הדין) ; המנגנון שנקבע בחוק הירושה נועד להוות איזון בין ההסתמכות של בני הזוג בעת עריכת הצוואה ההדדית לבין שמירת החופש לצוות. שעה שהמנוחה ויתרה באמצעות ההסתלקות על כל טובת הנאה מהצוואה ההדדית, שבה אליה זכותה לצוות כפי רצונה. כך היא עשתה</w:t>
      </w:r>
      <w:r w:rsidRPr="001F6E08">
        <w:rPr>
          <w:rFonts w:ascii="David" w:hAnsi="David" w:cs="David"/>
          <w:sz w:val="24"/>
          <w:szCs w:val="24"/>
        </w:rPr>
        <w:t xml:space="preserve"> </w:t>
      </w:r>
      <w:r w:rsidRPr="001F6E08">
        <w:rPr>
          <w:rFonts w:ascii="David" w:hAnsi="David" w:cs="David"/>
          <w:sz w:val="24"/>
          <w:szCs w:val="24"/>
          <w:rtl/>
        </w:rPr>
        <w:t>(ס' 83 לפסק הדין).</w:t>
      </w:r>
    </w:p>
    <w:p w:rsidR="008A66E0" w:rsidRPr="001F6E08" w:rsidRDefault="008A66E0" w:rsidP="001F6E08">
      <w:pPr>
        <w:pStyle w:val="ad"/>
        <w:numPr>
          <w:ilvl w:val="0"/>
          <w:numId w:val="2"/>
        </w:numPr>
        <w:spacing w:after="240" w:line="360" w:lineRule="auto"/>
        <w:ind w:left="794" w:hanging="425"/>
        <w:contextualSpacing w:val="0"/>
        <w:jc w:val="both"/>
        <w:rPr>
          <w:rFonts w:ascii="David" w:hAnsi="David" w:cs="David"/>
          <w:sz w:val="24"/>
          <w:szCs w:val="24"/>
          <w:rtl/>
        </w:rPr>
      </w:pPr>
      <w:r w:rsidRPr="001F6E08">
        <w:rPr>
          <w:rFonts w:ascii="David" w:hAnsi="David" w:cs="David"/>
          <w:sz w:val="24"/>
          <w:szCs w:val="24"/>
          <w:rtl/>
        </w:rPr>
        <w:t xml:space="preserve">בתוך כך בית משפט קמא דחה, עובדתית, את טענת המערער לפיה עיזבון האב חולק טרם שביטלה את צוואתה מיום 17.6.2007 מה שחייב אותה קודם כל להשיב את שקיבלה טרם ביטול צוואתה זו. </w:t>
      </w:r>
    </w:p>
    <w:p w:rsidR="008A66E0" w:rsidRPr="001F6E08" w:rsidRDefault="008A66E0" w:rsidP="001F6E08">
      <w:pPr>
        <w:pStyle w:val="ad"/>
        <w:numPr>
          <w:ilvl w:val="0"/>
          <w:numId w:val="1"/>
        </w:numPr>
        <w:spacing w:after="240" w:line="360" w:lineRule="auto"/>
        <w:ind w:left="368" w:hanging="357"/>
        <w:contextualSpacing w:val="0"/>
        <w:jc w:val="both"/>
        <w:rPr>
          <w:rFonts w:ascii="David" w:hAnsi="David" w:cs="David"/>
          <w:sz w:val="24"/>
          <w:szCs w:val="24"/>
          <w:rtl/>
        </w:rPr>
      </w:pPr>
      <w:r w:rsidRPr="001F6E08">
        <w:rPr>
          <w:rFonts w:ascii="David" w:hAnsi="David" w:cs="David"/>
          <w:sz w:val="24"/>
          <w:szCs w:val="24"/>
          <w:rtl/>
        </w:rPr>
        <w:t>התוצאה של פסק הדין – עיזבונות האב והאם יחולקו בין שלשת הילדים בחלקים שווים.</w:t>
      </w:r>
    </w:p>
    <w:p w:rsidR="008A66E0" w:rsidRPr="001F6E08" w:rsidRDefault="008A66E0" w:rsidP="001F6E08">
      <w:pPr>
        <w:pStyle w:val="ad"/>
        <w:numPr>
          <w:ilvl w:val="0"/>
          <w:numId w:val="1"/>
        </w:numPr>
        <w:spacing w:after="240" w:line="360" w:lineRule="auto"/>
        <w:ind w:left="363" w:hanging="357"/>
        <w:contextualSpacing w:val="0"/>
        <w:jc w:val="both"/>
        <w:rPr>
          <w:rFonts w:ascii="David" w:hAnsi="David" w:cs="David"/>
          <w:sz w:val="24"/>
          <w:szCs w:val="24"/>
          <w:rtl/>
        </w:rPr>
      </w:pPr>
      <w:r w:rsidRPr="001F6E08">
        <w:rPr>
          <w:rFonts w:ascii="David" w:hAnsi="David" w:cs="David"/>
          <w:sz w:val="24"/>
          <w:szCs w:val="24"/>
          <w:rtl/>
        </w:rPr>
        <w:t>המערער לא השלים עם פסק הדין והגיש את הערעור שלפנינו.</w:t>
      </w:r>
    </w:p>
    <w:p w:rsidR="008A66E0" w:rsidRPr="001F6E08" w:rsidRDefault="008A66E0" w:rsidP="001F6E08">
      <w:pPr>
        <w:pStyle w:val="Ruller4"/>
        <w:spacing w:after="240"/>
        <w:rPr>
          <w:rFonts w:ascii="David" w:hAnsi="David" w:cs="David"/>
          <w:b/>
          <w:bCs/>
          <w:sz w:val="24"/>
          <w:szCs w:val="24"/>
          <w:rtl/>
        </w:rPr>
      </w:pPr>
      <w:r w:rsidRPr="001F6E08">
        <w:rPr>
          <w:rFonts w:ascii="David" w:hAnsi="David" w:cs="David"/>
          <w:b/>
          <w:bCs/>
          <w:sz w:val="24"/>
          <w:szCs w:val="24"/>
          <w:rtl/>
        </w:rPr>
        <w:t>הערעור</w:t>
      </w:r>
    </w:p>
    <w:p w:rsidR="008A66E0" w:rsidRPr="001F6E08" w:rsidRDefault="008A66E0" w:rsidP="001F6E08">
      <w:pPr>
        <w:pStyle w:val="ad"/>
        <w:numPr>
          <w:ilvl w:val="0"/>
          <w:numId w:val="1"/>
        </w:numPr>
        <w:spacing w:after="240" w:line="360" w:lineRule="auto"/>
        <w:ind w:left="363" w:hanging="357"/>
        <w:contextualSpacing w:val="0"/>
        <w:jc w:val="both"/>
        <w:rPr>
          <w:rFonts w:ascii="David" w:hAnsi="David" w:cs="David"/>
          <w:sz w:val="24"/>
          <w:szCs w:val="24"/>
          <w:rtl/>
        </w:rPr>
      </w:pPr>
      <w:r w:rsidRPr="001F6E08">
        <w:rPr>
          <w:rFonts w:ascii="David" w:hAnsi="David" w:cs="David"/>
          <w:sz w:val="24"/>
          <w:szCs w:val="24"/>
          <w:rtl/>
        </w:rPr>
        <w:t xml:space="preserve">המערער עותר לביטול צו קיום הצוואה המתוקן של עיזבון האב, לביטול צו הקיום שניתן לצוואה החדשה של האם ולמתן צו קיום לצוואת האם מיום 17.6.2007. בכך מכוון המערער לחלוקת עיזבון האב והאם בהתאם להוראות צוואותיהם מיום 17.6.2007, 80% למערער 10% לכל אחת מהמשיבות (להלן: </w:t>
      </w:r>
      <w:r w:rsidRPr="001F6E08">
        <w:rPr>
          <w:rFonts w:ascii="David" w:hAnsi="David" w:cs="David"/>
          <w:b/>
          <w:bCs/>
          <w:sz w:val="24"/>
          <w:szCs w:val="24"/>
          <w:rtl/>
        </w:rPr>
        <w:t>קבלת הערעור באופן מלא)</w:t>
      </w:r>
      <w:r w:rsidRPr="001F6E08">
        <w:rPr>
          <w:rFonts w:ascii="David" w:hAnsi="David" w:cs="David"/>
          <w:sz w:val="24"/>
          <w:szCs w:val="24"/>
          <w:rtl/>
        </w:rPr>
        <w:t xml:space="preserve">. למצער, עותר המערער, לקבוע כי גם אם הצוואה המאוחרת של האם תקוים אזי יש להחיל את הוראותיה רק על חלק העיזבון שלה ולא על חלק העיזבון שהיא קיבלה מהאב, עליו ויתרה (ס' 49.2 לערעור). בכך מכוון המערער לחלוקת עיזבון האב בהתאם להוראת צוואתו מיום 17.6.2007, 80% למערער 10% לכל אחת מהמשיבות </w:t>
      </w:r>
      <w:r w:rsidRPr="001F6E08">
        <w:rPr>
          <w:rFonts w:ascii="David" w:hAnsi="David" w:cs="David"/>
          <w:sz w:val="24"/>
          <w:szCs w:val="24"/>
          <w:rtl/>
        </w:rPr>
        <w:lastRenderedPageBreak/>
        <w:t xml:space="preserve">ולחלוקת עיזבון האם בהתאם לצוואה המאוחרת, בחלקים שווים לשלשת הילדים (להלן: </w:t>
      </w:r>
      <w:r w:rsidRPr="001F6E08">
        <w:rPr>
          <w:rFonts w:ascii="David" w:hAnsi="David" w:cs="David"/>
          <w:b/>
          <w:bCs/>
          <w:sz w:val="24"/>
          <w:szCs w:val="24"/>
          <w:rtl/>
        </w:rPr>
        <w:t>קבלת הערעור באופן חלקי</w:t>
      </w:r>
      <w:r w:rsidRPr="001F6E08">
        <w:rPr>
          <w:rFonts w:ascii="David" w:hAnsi="David" w:cs="David"/>
          <w:sz w:val="24"/>
          <w:szCs w:val="24"/>
          <w:rtl/>
        </w:rPr>
        <w:t>).</w:t>
      </w:r>
    </w:p>
    <w:p w:rsidR="008A66E0" w:rsidRPr="001F6E08" w:rsidRDefault="008A66E0" w:rsidP="001F6E08">
      <w:pPr>
        <w:pStyle w:val="ad"/>
        <w:numPr>
          <w:ilvl w:val="0"/>
          <w:numId w:val="1"/>
        </w:numPr>
        <w:spacing w:after="240" w:line="360" w:lineRule="auto"/>
        <w:ind w:left="369"/>
        <w:contextualSpacing w:val="0"/>
        <w:jc w:val="both"/>
        <w:rPr>
          <w:rFonts w:ascii="David" w:hAnsi="David" w:cs="David"/>
          <w:sz w:val="24"/>
          <w:szCs w:val="24"/>
          <w:rtl/>
        </w:rPr>
      </w:pPr>
      <w:r w:rsidRPr="001F6E08">
        <w:rPr>
          <w:rFonts w:ascii="David" w:hAnsi="David" w:cs="David"/>
          <w:sz w:val="24"/>
          <w:szCs w:val="24"/>
          <w:rtl/>
        </w:rPr>
        <w:t xml:space="preserve">את עתירתו לקבלת הערעור באופן מלא סומך המערער על הכשלים שליוו את המהלכים בהם נקטה האם, כשלים שיש בהם, לטענתו, כדי לאיין את ביטול צוואתה מיום 17.6.2007: </w:t>
      </w:r>
    </w:p>
    <w:p w:rsidR="008A66E0" w:rsidRPr="001F6E08" w:rsidRDefault="008A66E0" w:rsidP="001F6E08">
      <w:pPr>
        <w:pStyle w:val="ad"/>
        <w:spacing w:after="240" w:line="360" w:lineRule="auto"/>
        <w:ind w:left="369"/>
        <w:contextualSpacing w:val="0"/>
        <w:jc w:val="both"/>
        <w:rPr>
          <w:rFonts w:ascii="David" w:hAnsi="David" w:cs="David"/>
          <w:sz w:val="24"/>
          <w:szCs w:val="24"/>
        </w:rPr>
      </w:pPr>
      <w:r w:rsidRPr="001F6E08">
        <w:rPr>
          <w:rFonts w:ascii="David" w:hAnsi="David" w:cs="David"/>
          <w:sz w:val="24"/>
          <w:szCs w:val="24"/>
          <w:rtl/>
        </w:rPr>
        <w:t xml:space="preserve">פגם במועד ההסתלקות. בעוד שחוק הירושה מכשיר ביטול צוואה הדדית רק אם היא נעשתה אחרי ההסתלקות האם עשתה את צוואתה החדשה טרם שהסתלקה (ס' 8א(ב)(2)(א) לחוק הירושה) ; תצהירי הסתלקות סותרים. האם חתמה על שני תצהירי הסתלקות האחד תצהיר הסתלקות כללית מיום 25.11.2013 והשני מיום 22.7.14, תצהיר הסתלקות ספציפי; תצהיר ההסתלקות השני, הספציפי, היה לטובת שלשת הילדים של המוריש והוא עומד בניגוד להוראת 8א(ב)(2)(א) לחוק הירושה. </w:t>
      </w:r>
    </w:p>
    <w:p w:rsidR="008A66E0" w:rsidRPr="001F6E08" w:rsidRDefault="008A66E0" w:rsidP="001F6E08">
      <w:pPr>
        <w:pStyle w:val="ad"/>
        <w:spacing w:after="240" w:line="360" w:lineRule="auto"/>
        <w:ind w:left="369"/>
        <w:contextualSpacing w:val="0"/>
        <w:jc w:val="both"/>
        <w:rPr>
          <w:rFonts w:ascii="David" w:hAnsi="David" w:cs="David"/>
          <w:sz w:val="24"/>
          <w:szCs w:val="24"/>
        </w:rPr>
      </w:pPr>
      <w:r w:rsidRPr="001F6E08">
        <w:rPr>
          <w:rFonts w:ascii="David" w:hAnsi="David" w:cs="David"/>
          <w:sz w:val="24"/>
          <w:szCs w:val="24"/>
          <w:rtl/>
        </w:rPr>
        <w:t>לטענת המערער הכשלים הללו, כול אחד מהם בנפרד בוודאי במצטבר, תוצאתו הסתלקות שלא כדין מחלקה בעיזבון האב שדינה בטלות הביטול של צוואתה מיום 17.6.2007.</w:t>
      </w:r>
    </w:p>
    <w:p w:rsidR="008A66E0" w:rsidRPr="001F6E08" w:rsidRDefault="008A66E0" w:rsidP="001F6E08">
      <w:pPr>
        <w:pStyle w:val="ad"/>
        <w:numPr>
          <w:ilvl w:val="0"/>
          <w:numId w:val="1"/>
        </w:numPr>
        <w:spacing w:after="240" w:line="360" w:lineRule="auto"/>
        <w:ind w:left="363" w:hanging="357"/>
        <w:contextualSpacing w:val="0"/>
        <w:jc w:val="both"/>
        <w:rPr>
          <w:rFonts w:ascii="David" w:hAnsi="David" w:cs="David"/>
          <w:sz w:val="24"/>
          <w:szCs w:val="24"/>
          <w:rtl/>
        </w:rPr>
      </w:pPr>
      <w:r w:rsidRPr="001F6E08">
        <w:rPr>
          <w:rFonts w:ascii="David" w:hAnsi="David" w:cs="David"/>
          <w:sz w:val="24"/>
          <w:szCs w:val="24"/>
          <w:rtl/>
        </w:rPr>
        <w:t>המערער גם קובל על מתן תוקף להתנהלות חסרת תום לב של האם אשר הובילה, בטעות, לגישתו, לתוצאה אשר פגעה ברצון האב ובאינטרס ההסתמכות שלו לפיו יעבור עיזבונו, לכל הפחות, על דרך הוראת יורש אחר יורש, בחלוקה אליה כיוון -  80% למערער 10% לכל אחת מהמשיבות.</w:t>
      </w:r>
    </w:p>
    <w:p w:rsidR="008A66E0" w:rsidRPr="001F6E08" w:rsidRDefault="008A66E0" w:rsidP="001F6E08">
      <w:pPr>
        <w:pStyle w:val="ad"/>
        <w:numPr>
          <w:ilvl w:val="0"/>
          <w:numId w:val="1"/>
        </w:numPr>
        <w:spacing w:after="240" w:line="360" w:lineRule="auto"/>
        <w:ind w:left="363" w:hanging="357"/>
        <w:contextualSpacing w:val="0"/>
        <w:jc w:val="both"/>
        <w:rPr>
          <w:rFonts w:ascii="David" w:hAnsi="David" w:cs="David"/>
          <w:sz w:val="24"/>
          <w:szCs w:val="24"/>
        </w:rPr>
      </w:pPr>
      <w:r w:rsidRPr="001F6E08">
        <w:rPr>
          <w:rFonts w:ascii="David" w:hAnsi="David" w:cs="David"/>
          <w:sz w:val="24"/>
          <w:szCs w:val="24"/>
          <w:rtl/>
        </w:rPr>
        <w:t>המערער שב וחזר על טענתו כי עיזבון המנוח חולק טרם שהאם עשתה את הצוואה המאוחרת וביטלה באמצעותה את צוואתה מיום 17.6.2007. לטענתו, במצב דברים זה אין תוקף לביטול הצוואה מיום 17.6.2007.</w:t>
      </w:r>
    </w:p>
    <w:p w:rsidR="008A66E0" w:rsidRPr="001F6E08" w:rsidRDefault="008A66E0" w:rsidP="001F6E08">
      <w:pPr>
        <w:pStyle w:val="ad"/>
        <w:numPr>
          <w:ilvl w:val="0"/>
          <w:numId w:val="1"/>
        </w:numPr>
        <w:spacing w:after="240" w:line="360" w:lineRule="auto"/>
        <w:ind w:left="363" w:hanging="357"/>
        <w:contextualSpacing w:val="0"/>
        <w:jc w:val="both"/>
        <w:rPr>
          <w:rFonts w:ascii="David" w:hAnsi="David" w:cs="David"/>
          <w:sz w:val="24"/>
          <w:szCs w:val="24"/>
          <w:rtl/>
        </w:rPr>
      </w:pPr>
      <w:r w:rsidRPr="001F6E08">
        <w:rPr>
          <w:rFonts w:ascii="David" w:hAnsi="David" w:cs="David"/>
          <w:sz w:val="24"/>
          <w:szCs w:val="24"/>
          <w:rtl/>
        </w:rPr>
        <w:t xml:space="preserve">אשר לדחיית בקשתו לביטול צו הקיום המתוקן -  לטענתו, מעולם לא קיבל הודעה על שינוי הצוואה מיום 17.6.2007 וכי כל השינוי נעשה מאחורי גבו. אילו ידע היה מתנגד מיד ולא היה מוותר על החלק הגדול יותר שמגיע לו בעיזבון. </w:t>
      </w:r>
    </w:p>
    <w:p w:rsidR="008A66E0" w:rsidRPr="001F6E08" w:rsidRDefault="008A66E0" w:rsidP="001F6E08">
      <w:pPr>
        <w:pStyle w:val="Ruller4"/>
        <w:spacing w:after="240"/>
        <w:rPr>
          <w:rFonts w:ascii="David" w:hAnsi="David" w:cs="David"/>
          <w:b/>
          <w:bCs/>
          <w:sz w:val="24"/>
          <w:szCs w:val="24"/>
          <w:rtl/>
        </w:rPr>
      </w:pPr>
      <w:r w:rsidRPr="001F6E08">
        <w:rPr>
          <w:rFonts w:ascii="David" w:hAnsi="David" w:cs="David"/>
          <w:b/>
          <w:bCs/>
          <w:sz w:val="24"/>
          <w:szCs w:val="24"/>
          <w:rtl/>
        </w:rPr>
        <w:t>התשובה לערעור</w:t>
      </w:r>
    </w:p>
    <w:p w:rsidR="008A66E0" w:rsidRPr="001F6E08" w:rsidRDefault="008A66E0" w:rsidP="001F6E08">
      <w:pPr>
        <w:pStyle w:val="ad"/>
        <w:numPr>
          <w:ilvl w:val="0"/>
          <w:numId w:val="1"/>
        </w:numPr>
        <w:spacing w:after="240" w:line="360" w:lineRule="auto"/>
        <w:ind w:left="368"/>
        <w:contextualSpacing w:val="0"/>
        <w:jc w:val="both"/>
        <w:rPr>
          <w:rFonts w:ascii="David" w:hAnsi="David" w:cs="David"/>
          <w:sz w:val="24"/>
          <w:szCs w:val="24"/>
          <w:rtl/>
        </w:rPr>
      </w:pPr>
      <w:r w:rsidRPr="001F6E08">
        <w:rPr>
          <w:rFonts w:ascii="David" w:hAnsi="David" w:cs="David"/>
          <w:sz w:val="24"/>
          <w:szCs w:val="24"/>
          <w:rtl/>
        </w:rPr>
        <w:t xml:space="preserve">המשיבות עותרות לדחיית הערעור וטוענות כי בדין נדחתה בקשתו של המערער לביטול צו קיום הצוואה המתוקן וכי הצוואה החדשה שעשתה האם עומדת בכל תנאי סעיף 8א לחוק הירושה. </w:t>
      </w:r>
    </w:p>
    <w:p w:rsidR="008A66E0" w:rsidRPr="001F6E08" w:rsidRDefault="008A66E0" w:rsidP="001F6E08">
      <w:pPr>
        <w:pStyle w:val="ad"/>
        <w:spacing w:after="240" w:line="360" w:lineRule="auto"/>
        <w:ind w:left="369"/>
        <w:contextualSpacing w:val="0"/>
        <w:jc w:val="both"/>
        <w:rPr>
          <w:rFonts w:ascii="David" w:hAnsi="David" w:cs="David"/>
          <w:sz w:val="24"/>
          <w:szCs w:val="24"/>
        </w:rPr>
      </w:pPr>
      <w:r w:rsidRPr="001F6E08">
        <w:rPr>
          <w:rFonts w:ascii="David" w:hAnsi="David" w:cs="David"/>
          <w:sz w:val="24"/>
          <w:szCs w:val="24"/>
          <w:rtl/>
        </w:rPr>
        <w:t xml:space="preserve">הטענה בדבר פער זמנים בין חתימת תצהיר ההסתלקות לעשיית הצוואה הינה בגדר הרחבת חזית ולגופה של הטענה היא אינה נכונה עובדתית שכן האם חתמה על תצהיר ההסתלקות באותו מועד בו עשתה את הצוואה החדשה. מבחינה משפטית, גם אם קיים פער זמנים כטענת המערער, דבר המוכחש, חוק הירושה אינו מחייב שההסתלקות תחתם לפני, אחרי או תוך כדי עשיית הצוואה החדשה. </w:t>
      </w:r>
    </w:p>
    <w:p w:rsidR="008A66E0" w:rsidRPr="001F6E08" w:rsidRDefault="008A66E0" w:rsidP="001F6E08">
      <w:pPr>
        <w:pStyle w:val="ad"/>
        <w:spacing w:after="240" w:line="360" w:lineRule="auto"/>
        <w:ind w:left="368"/>
        <w:contextualSpacing w:val="0"/>
        <w:jc w:val="both"/>
        <w:rPr>
          <w:rFonts w:ascii="David" w:hAnsi="David" w:cs="David"/>
          <w:sz w:val="24"/>
          <w:szCs w:val="24"/>
          <w:rtl/>
        </w:rPr>
      </w:pPr>
      <w:r w:rsidRPr="001F6E08">
        <w:rPr>
          <w:rFonts w:ascii="David" w:hAnsi="David" w:cs="David"/>
          <w:sz w:val="24"/>
          <w:szCs w:val="24"/>
          <w:rtl/>
        </w:rPr>
        <w:lastRenderedPageBreak/>
        <w:t>גם הטענה כי תצהירי ההסתלקות סותרים היא בגדר הרחבת חזית ולגופה הטענה שגויה. האם ערכה תצהיר הסתלקות כללית אשר הוגש לרשם לענייני ירושה. הרשם לענייני ירושה הוא שדרש לערוך תצהיר הסתלקות מפורט. תצהיר הסתלקות המתוקן הוגש, אפוא, רק במענה לדרישת הרשם לענייני ירושה. כך או כך, התוצאה של שני התצהירים זהה.</w:t>
      </w:r>
    </w:p>
    <w:p w:rsidR="008A66E0" w:rsidRPr="001F6E08" w:rsidRDefault="008A66E0" w:rsidP="001F6E08">
      <w:pPr>
        <w:pStyle w:val="ad"/>
        <w:spacing w:after="240" w:line="360" w:lineRule="auto"/>
        <w:ind w:left="368"/>
        <w:contextualSpacing w:val="0"/>
        <w:jc w:val="both"/>
        <w:rPr>
          <w:rFonts w:ascii="David" w:hAnsi="David" w:cs="David"/>
          <w:sz w:val="24"/>
          <w:szCs w:val="24"/>
          <w:rtl/>
        </w:rPr>
      </w:pPr>
      <w:r w:rsidRPr="001F6E08">
        <w:rPr>
          <w:rFonts w:ascii="David" w:hAnsi="David" w:cs="David"/>
          <w:sz w:val="24"/>
          <w:szCs w:val="24"/>
          <w:rtl/>
        </w:rPr>
        <w:t>האם פעלה בהתאם להוראות חוק הירושה – הסתלקה הסתלקות כללית, טרם חלוקת עיזבון האב – עם הסתלקותה היא אינה יורשת מלכתחילה - הוראת הצוואה לטובתה בטלה ועמה הוראת היורש אחר יורש – עשתה צוואה חדשה באשר לעיזבונה שלה.</w:t>
      </w:r>
    </w:p>
    <w:p w:rsidR="008A66E0" w:rsidRPr="001F6E08" w:rsidRDefault="008A66E0" w:rsidP="001F6E08">
      <w:pPr>
        <w:pStyle w:val="ad"/>
        <w:spacing w:after="240" w:line="360" w:lineRule="auto"/>
        <w:ind w:left="368"/>
        <w:contextualSpacing w:val="0"/>
        <w:jc w:val="both"/>
        <w:rPr>
          <w:rFonts w:ascii="David" w:hAnsi="David" w:cs="David"/>
          <w:sz w:val="24"/>
          <w:szCs w:val="24"/>
          <w:rtl/>
        </w:rPr>
      </w:pPr>
      <w:r w:rsidRPr="001F6E08">
        <w:rPr>
          <w:rFonts w:ascii="David" w:hAnsi="David" w:cs="David"/>
          <w:sz w:val="24"/>
          <w:szCs w:val="24"/>
          <w:rtl/>
        </w:rPr>
        <w:t xml:space="preserve">קביעתו של בית משפט קמא לפיה לא הוכחה הטענה כי האם נטלה נכסים מעיזבון האב ולא השיבה אותם טרם שעשתה את הצוואה החדשה ועל כן בנסיבות אלה היה עליה לפעול בהתאם לסעיף 8א(ב)(2)(ב), קרי להשיב את שירשה לפי הצוואה ההדדית ולא להסתלק מחלקה בעיזבון האב, הינה קביעה עובדתית שאין להתערב בה. </w:t>
      </w:r>
    </w:p>
    <w:p w:rsidR="008A66E0" w:rsidRPr="001F6E08" w:rsidRDefault="008A66E0" w:rsidP="001F6E08">
      <w:pPr>
        <w:pStyle w:val="Ruller4"/>
        <w:spacing w:after="240"/>
        <w:rPr>
          <w:rFonts w:ascii="David" w:hAnsi="David" w:cs="David"/>
          <w:b/>
          <w:bCs/>
          <w:sz w:val="24"/>
          <w:szCs w:val="24"/>
          <w:rtl/>
        </w:rPr>
      </w:pPr>
      <w:r w:rsidRPr="001F6E08">
        <w:rPr>
          <w:rFonts w:ascii="David" w:hAnsi="David" w:cs="David"/>
          <w:b/>
          <w:bCs/>
          <w:sz w:val="24"/>
          <w:szCs w:val="24"/>
          <w:rtl/>
        </w:rPr>
        <w:t>הדיון בערעור</w:t>
      </w:r>
    </w:p>
    <w:p w:rsidR="008A66E0" w:rsidRPr="001F6E08" w:rsidRDefault="008A66E0" w:rsidP="001F6E08">
      <w:pPr>
        <w:pStyle w:val="ad"/>
        <w:numPr>
          <w:ilvl w:val="0"/>
          <w:numId w:val="1"/>
        </w:numPr>
        <w:spacing w:after="240" w:line="360" w:lineRule="auto"/>
        <w:ind w:left="369"/>
        <w:contextualSpacing w:val="0"/>
        <w:jc w:val="both"/>
        <w:rPr>
          <w:rFonts w:ascii="David" w:hAnsi="David" w:cs="David"/>
          <w:sz w:val="24"/>
          <w:szCs w:val="24"/>
          <w:rtl/>
        </w:rPr>
      </w:pPr>
      <w:r w:rsidRPr="001F6E08">
        <w:rPr>
          <w:rFonts w:ascii="David" w:hAnsi="David" w:cs="David"/>
          <w:sz w:val="24"/>
          <w:szCs w:val="24"/>
          <w:rtl/>
        </w:rPr>
        <w:t>לצורך הדיון בערעור קיים בית המשפט של ערעור שתי ישיבות.</w:t>
      </w:r>
    </w:p>
    <w:p w:rsidR="008A66E0" w:rsidRPr="001F6E08" w:rsidRDefault="008A66E0" w:rsidP="001F6E08">
      <w:pPr>
        <w:pStyle w:val="ad"/>
        <w:spacing w:after="240" w:line="360" w:lineRule="auto"/>
        <w:ind w:left="369"/>
        <w:contextualSpacing w:val="0"/>
        <w:jc w:val="both"/>
        <w:rPr>
          <w:rFonts w:ascii="David" w:hAnsi="David" w:cs="David"/>
          <w:sz w:val="24"/>
          <w:szCs w:val="24"/>
          <w:rtl/>
        </w:rPr>
      </w:pPr>
      <w:r w:rsidRPr="001F6E08">
        <w:rPr>
          <w:rFonts w:ascii="David" w:hAnsi="David" w:cs="David"/>
          <w:sz w:val="24"/>
          <w:szCs w:val="24"/>
          <w:rtl/>
        </w:rPr>
        <w:t xml:space="preserve">בישיבה הראשונה, ביום 6.7.23, הקשינו על המשיבות והבענו דעתנו בדבר קשיים בפסק הדין. משבאנו לכתוב את פסק הדין סברנו כי יש קשיים, דווקא, בערעור וכי ראוי להניחם לפני הצדדים להתייחסות נוספת. לשם כך קבענו ישיבה נוספת ביום 28.9.23 בה העלינו לפני הצדדים את ההתלבטויות ואת האפשרויות השונות להכרעה, אף בקשנו התייחסותם בכתב לאלה. </w:t>
      </w:r>
    </w:p>
    <w:p w:rsidR="008A66E0" w:rsidRPr="001F6E08" w:rsidRDefault="008A66E0" w:rsidP="001F6E08">
      <w:pPr>
        <w:pStyle w:val="ad"/>
        <w:spacing w:after="240" w:line="360" w:lineRule="auto"/>
        <w:ind w:left="369"/>
        <w:contextualSpacing w:val="0"/>
        <w:jc w:val="both"/>
        <w:rPr>
          <w:rFonts w:ascii="David" w:hAnsi="David" w:cs="David"/>
          <w:sz w:val="24"/>
          <w:szCs w:val="24"/>
          <w:rtl/>
        </w:rPr>
      </w:pPr>
      <w:r w:rsidRPr="001F6E08">
        <w:rPr>
          <w:rFonts w:ascii="David" w:hAnsi="David" w:cs="David"/>
          <w:sz w:val="24"/>
          <w:szCs w:val="24"/>
          <w:rtl/>
        </w:rPr>
        <w:t>משהוגשו הטיעונים המשלימים על ידי הצדדים נפנינו לכתיבת פסק הדין.</w:t>
      </w:r>
    </w:p>
    <w:p w:rsidR="008A66E0" w:rsidRPr="001F6E08" w:rsidRDefault="008A66E0" w:rsidP="001F6E08">
      <w:pPr>
        <w:pStyle w:val="Ruller4"/>
        <w:spacing w:after="240"/>
        <w:rPr>
          <w:rFonts w:ascii="David" w:hAnsi="David" w:cs="David"/>
          <w:b/>
          <w:bCs/>
          <w:sz w:val="24"/>
          <w:szCs w:val="24"/>
          <w:u w:val="single"/>
          <w:rtl/>
        </w:rPr>
      </w:pPr>
      <w:r w:rsidRPr="001F6E08">
        <w:rPr>
          <w:rFonts w:ascii="David" w:hAnsi="David" w:cs="David"/>
          <w:b/>
          <w:bCs/>
          <w:sz w:val="24"/>
          <w:szCs w:val="24"/>
          <w:u w:val="single"/>
          <w:rtl/>
        </w:rPr>
        <w:t>דיון והכרעה</w:t>
      </w:r>
    </w:p>
    <w:p w:rsidR="008A66E0" w:rsidRPr="001F6E08" w:rsidRDefault="008A66E0" w:rsidP="001F6E08">
      <w:pPr>
        <w:pStyle w:val="ad"/>
        <w:numPr>
          <w:ilvl w:val="0"/>
          <w:numId w:val="1"/>
        </w:numPr>
        <w:spacing w:after="240" w:line="360" w:lineRule="auto"/>
        <w:ind w:left="363" w:hanging="357"/>
        <w:contextualSpacing w:val="0"/>
        <w:jc w:val="both"/>
        <w:rPr>
          <w:rFonts w:ascii="David" w:hAnsi="David" w:cs="David"/>
          <w:sz w:val="24"/>
          <w:szCs w:val="24"/>
          <w:rtl/>
        </w:rPr>
      </w:pPr>
      <w:r w:rsidRPr="001F6E08">
        <w:rPr>
          <w:rFonts w:ascii="David" w:hAnsi="David" w:cs="David"/>
          <w:sz w:val="24"/>
          <w:szCs w:val="24"/>
          <w:rtl/>
        </w:rPr>
        <w:t>לאחר ששמענו את טענות הצדדים, הן בכתב הן על פה, בשתי הישיבות שהתקיימו אני סבור כי בליבת הערעור עומדת השאלה האם המהלך המשפטי בו נקטה האם נעשה כדין, בהתאם להוראות חוק הירושה, אם לאו. ככל שהתשובה חיובית, נשאלת השאלה מה היקף תחולתו של המהלך – האם על עיזבון האב והאם גם יחד או רק על עיזבון האם. ככל שהתשובה שלילית לא תהא למהלך בו נקטה שום השלכה על הצוואות מיום 17.6.07 ואלה אמורות להיות מקוימות כלשונן. מאידך, תשובה חיובית לשאלה זו מייתרת את הדיון בכל הנוגע לחלק פסק דינו של בית משפט קמא בנוגע לבקשה לביטול צו הקיום המתוקן של צוואת האב שכן אין בביטול של צו הקיום המתוקן של צוואת האב, כשלעצמו, כדי להביא לאיונו של המהלך ככל שהוא נעשה כדין. המהלך בו נקטה האם יוכשר גם אם דין הבקשה לביטול צו קיום צוואת האב היה להתקבל.</w:t>
      </w:r>
    </w:p>
    <w:p w:rsidR="008A66E0" w:rsidRPr="001F6E08" w:rsidRDefault="008A66E0" w:rsidP="001F6E08">
      <w:pPr>
        <w:pStyle w:val="ad"/>
        <w:spacing w:after="240" w:line="360" w:lineRule="auto"/>
        <w:ind w:left="369"/>
        <w:contextualSpacing w:val="0"/>
        <w:jc w:val="both"/>
        <w:rPr>
          <w:rFonts w:ascii="David" w:hAnsi="David" w:cs="David"/>
          <w:sz w:val="24"/>
          <w:szCs w:val="24"/>
        </w:rPr>
      </w:pPr>
      <w:r w:rsidRPr="001F6E08">
        <w:rPr>
          <w:rFonts w:ascii="David" w:hAnsi="David" w:cs="David"/>
          <w:sz w:val="24"/>
          <w:szCs w:val="24"/>
          <w:rtl/>
        </w:rPr>
        <w:lastRenderedPageBreak/>
        <w:t xml:space="preserve">עניין נוסף – איננו רואה מקום להתערב בקביעתו העובדתית של בית משפט קמא לפיה טענת המערער כי האם נטלה נכסים מתוך עיזבון האב התבררה כלא נכונה (ס' 170 לפסק הדין) וכי גרסתו בעניין זה קרסה מתשובותיו שלו בחקירה (ס' 172 לפסק הדין). בית משפט קמא עמד על הסתירות שהתגלו בין גרסת המערער בתצהירו ובחקירתו לבין הגרסה שנתן בסיכומיו והעדיף את תשובותיו שניתנו בחקירה הנגדית באופן ספונטני ולא מתוכנן. בית המשפט קמא, קבע לאחר ניתוח הראיות והעדויות, כי לא הובאה ראיה כי העיזבון חולק – ס' 187 לפסק הדין. מדובר, אפוא, בקביעות עובדה ומהימנות שערכאת הערעור אינה נוהגת להתערב בהן אלא במקרים חריגים וזה לא המקרה לחרוג מהלכה זו. משכך אין גם מקום להתערב במסקנה המשפטית של בית משפט קמא לפיה יש לדחות את טענתו המערער כי היה על האם לפעול לפי ס' 8א(ב)(2)(ב) לחוק הירושה. </w:t>
      </w:r>
    </w:p>
    <w:p w:rsidR="008A66E0" w:rsidRPr="001F6E08" w:rsidRDefault="008A66E0" w:rsidP="001F6E08">
      <w:pPr>
        <w:pStyle w:val="ad"/>
        <w:spacing w:after="240" w:line="360" w:lineRule="auto"/>
        <w:ind w:left="369"/>
        <w:contextualSpacing w:val="0"/>
        <w:jc w:val="both"/>
        <w:rPr>
          <w:rFonts w:ascii="David" w:hAnsi="David" w:cs="David"/>
          <w:sz w:val="24"/>
          <w:szCs w:val="24"/>
          <w:rtl/>
        </w:rPr>
      </w:pPr>
      <w:r w:rsidRPr="001F6E08">
        <w:rPr>
          <w:rFonts w:ascii="David" w:hAnsi="David" w:cs="David"/>
          <w:sz w:val="24"/>
          <w:szCs w:val="24"/>
          <w:rtl/>
        </w:rPr>
        <w:t>וכעת לליבת הערעור.</w:t>
      </w:r>
    </w:p>
    <w:p w:rsidR="008A66E0" w:rsidRPr="001F6E08" w:rsidRDefault="008A66E0" w:rsidP="001F6E08">
      <w:pPr>
        <w:pStyle w:val="ad"/>
        <w:numPr>
          <w:ilvl w:val="0"/>
          <w:numId w:val="1"/>
        </w:numPr>
        <w:spacing w:after="240" w:line="360" w:lineRule="auto"/>
        <w:ind w:left="363" w:hanging="357"/>
        <w:contextualSpacing w:val="0"/>
        <w:jc w:val="both"/>
        <w:rPr>
          <w:rFonts w:ascii="David" w:hAnsi="David" w:cs="David"/>
          <w:sz w:val="24"/>
          <w:szCs w:val="24"/>
          <w:rtl/>
        </w:rPr>
      </w:pPr>
      <w:r w:rsidRPr="001F6E08">
        <w:rPr>
          <w:rFonts w:ascii="David" w:hAnsi="David" w:cs="David"/>
          <w:sz w:val="24"/>
          <w:szCs w:val="24"/>
          <w:rtl/>
        </w:rPr>
        <w:t>אם דעתי תישמע – המהלך המשפטי בו נקטה האם נעשה כדין ובהתאם להוראות חוק הירושה.</w:t>
      </w:r>
    </w:p>
    <w:p w:rsidR="008A66E0" w:rsidRPr="001F6E08" w:rsidRDefault="008A66E0" w:rsidP="001F6E08">
      <w:pPr>
        <w:pStyle w:val="ad"/>
        <w:spacing w:after="240" w:line="360" w:lineRule="auto"/>
        <w:ind w:left="369"/>
        <w:contextualSpacing w:val="0"/>
        <w:jc w:val="both"/>
        <w:rPr>
          <w:rFonts w:ascii="David" w:hAnsi="David" w:cs="David"/>
          <w:sz w:val="24"/>
          <w:szCs w:val="24"/>
          <w:rtl/>
        </w:rPr>
      </w:pPr>
      <w:r w:rsidRPr="001F6E08">
        <w:rPr>
          <w:rFonts w:ascii="David" w:hAnsi="David" w:cs="David"/>
          <w:sz w:val="24"/>
          <w:szCs w:val="24"/>
          <w:rtl/>
        </w:rPr>
        <w:t xml:space="preserve">נפתח במה שאינו במחלוקת- </w:t>
      </w:r>
    </w:p>
    <w:p w:rsidR="008A66E0" w:rsidRPr="001F6E08" w:rsidRDefault="008A66E0" w:rsidP="001F6E08">
      <w:pPr>
        <w:pStyle w:val="ad"/>
        <w:spacing w:after="240" w:line="360" w:lineRule="auto"/>
        <w:ind w:left="369"/>
        <w:contextualSpacing w:val="0"/>
        <w:jc w:val="both"/>
        <w:rPr>
          <w:rFonts w:ascii="David" w:hAnsi="David" w:cs="David"/>
          <w:sz w:val="24"/>
          <w:szCs w:val="24"/>
          <w:rtl/>
        </w:rPr>
      </w:pPr>
      <w:r w:rsidRPr="001F6E08">
        <w:rPr>
          <w:rFonts w:ascii="David" w:hAnsi="David" w:cs="David"/>
          <w:sz w:val="24"/>
          <w:szCs w:val="24"/>
          <w:rtl/>
        </w:rPr>
        <w:t>אין מחלוקת שהצוואות של האב והאם מיום 17.6.07 הן צוואות משותפות בהיותן תוצאה של החלטה משותפת של האב והאם באשר לתוכנן. הן גם הדדיות שכן ההסדרים שנקבעו על ידי כל אחד מהשניים בצוואתו מבוסס, בבחינת תמונת מראה, על ההסדרים שקבע האחר ולא היו נערכים לולא הסדרים אלה (אהרון ברק "</w:t>
      </w:r>
      <w:r w:rsidRPr="001F6E08">
        <w:rPr>
          <w:rFonts w:ascii="David" w:hAnsi="David" w:cs="David"/>
          <w:b/>
          <w:bCs/>
          <w:sz w:val="24"/>
          <w:szCs w:val="24"/>
          <w:rtl/>
        </w:rPr>
        <w:t>פרשנות במשפט – פרשנות צוואה</w:t>
      </w:r>
      <w:r w:rsidRPr="001F6E08">
        <w:rPr>
          <w:rFonts w:ascii="David" w:hAnsi="David" w:cs="David"/>
          <w:sz w:val="24"/>
          <w:szCs w:val="24"/>
          <w:rtl/>
        </w:rPr>
        <w:t xml:space="preserve">", כרך חמישי, עמ' 69). </w:t>
      </w:r>
    </w:p>
    <w:p w:rsidR="008A66E0" w:rsidRPr="001F6E08" w:rsidRDefault="008A66E0" w:rsidP="001F6E08">
      <w:pPr>
        <w:pStyle w:val="ad"/>
        <w:spacing w:after="240" w:line="360" w:lineRule="auto"/>
        <w:ind w:left="369"/>
        <w:contextualSpacing w:val="0"/>
        <w:jc w:val="both"/>
        <w:rPr>
          <w:rFonts w:ascii="David" w:hAnsi="David" w:cs="David"/>
          <w:sz w:val="24"/>
          <w:szCs w:val="24"/>
          <w:rtl/>
        </w:rPr>
      </w:pPr>
      <w:r w:rsidRPr="001F6E08">
        <w:rPr>
          <w:rFonts w:ascii="David" w:hAnsi="David" w:cs="David"/>
          <w:sz w:val="24"/>
          <w:szCs w:val="24"/>
          <w:rtl/>
        </w:rPr>
        <w:t xml:space="preserve">אין מחלוקת שבכל אחת מן הצוואות, על פי ניסוחן, יש הוראת יורש אחר יורש וכי על פי צוואת האב האם יורשת ראשונה והילדים, בחלוקה לא שוויונית, אחריה. </w:t>
      </w:r>
    </w:p>
    <w:p w:rsidR="008A66E0" w:rsidRPr="001F6E08" w:rsidRDefault="008A66E0" w:rsidP="001F6E08">
      <w:pPr>
        <w:pStyle w:val="ad"/>
        <w:spacing w:after="240" w:line="360" w:lineRule="auto"/>
        <w:ind w:left="369"/>
        <w:contextualSpacing w:val="0"/>
        <w:jc w:val="both"/>
        <w:rPr>
          <w:rFonts w:ascii="David" w:hAnsi="David" w:cs="David"/>
          <w:sz w:val="24"/>
          <w:szCs w:val="24"/>
          <w:rtl/>
        </w:rPr>
      </w:pPr>
      <w:r w:rsidRPr="001F6E08">
        <w:rPr>
          <w:rFonts w:ascii="David" w:hAnsi="David" w:cs="David"/>
          <w:sz w:val="24"/>
          <w:szCs w:val="24"/>
          <w:rtl/>
        </w:rPr>
        <w:t>אין מחלוקת כי גם מצוואה כזו, הדדית שבה יש הוראת יורש אחר יורש, רשאי היורש הראשון להסתלק מחלקו.</w:t>
      </w:r>
    </w:p>
    <w:p w:rsidR="008A66E0" w:rsidRPr="001F6E08" w:rsidRDefault="008A66E0" w:rsidP="001F6E08">
      <w:pPr>
        <w:pStyle w:val="ad"/>
        <w:spacing w:after="240" w:line="360" w:lineRule="auto"/>
        <w:ind w:left="369"/>
        <w:contextualSpacing w:val="0"/>
        <w:jc w:val="both"/>
        <w:rPr>
          <w:rFonts w:ascii="David" w:hAnsi="David" w:cs="David"/>
          <w:sz w:val="24"/>
          <w:szCs w:val="24"/>
          <w:rtl/>
        </w:rPr>
      </w:pPr>
      <w:r w:rsidRPr="001F6E08">
        <w:rPr>
          <w:rFonts w:ascii="David" w:hAnsi="David" w:cs="David"/>
          <w:sz w:val="24"/>
          <w:szCs w:val="24"/>
          <w:rtl/>
        </w:rPr>
        <w:t xml:space="preserve">במקרה של צוואה הדדית המחוקק דרש כתנאי לכך שבן הזוג שנותר בחיים יוכל לבטל את צוואתו ההדדית, טרם חלוקת העיזבון (וזה כאמור המקרה שלפנינו), שיסתלק מחלקו לפי הצוואה הסתלקות </w:t>
      </w:r>
      <w:r w:rsidRPr="001F6E08">
        <w:rPr>
          <w:rFonts w:ascii="David" w:hAnsi="David" w:cs="David"/>
          <w:b/>
          <w:bCs/>
          <w:sz w:val="24"/>
          <w:szCs w:val="24"/>
          <w:rtl/>
        </w:rPr>
        <w:t>"שלא לטובתו, לטובת ילדו או לטובת אחיו של המוריש, מכל מנה אן מכל חלק בעיזבון שהוא אמור לקבל לפי הצוואה ההדדית של המצווה שמת"</w:t>
      </w:r>
      <w:r w:rsidRPr="001F6E08">
        <w:rPr>
          <w:rFonts w:ascii="David" w:hAnsi="David" w:cs="David"/>
          <w:sz w:val="24"/>
          <w:szCs w:val="24"/>
          <w:rtl/>
        </w:rPr>
        <w:t xml:space="preserve"> – סעיף 8א(ב)(ב)(א) לחוק הירושה.</w:t>
      </w:r>
    </w:p>
    <w:p w:rsidR="008A66E0" w:rsidRPr="001F6E08" w:rsidRDefault="008A66E0" w:rsidP="001F6E08">
      <w:pPr>
        <w:pStyle w:val="ad"/>
        <w:spacing w:after="240" w:line="360" w:lineRule="auto"/>
        <w:ind w:left="369"/>
        <w:contextualSpacing w:val="0"/>
        <w:jc w:val="both"/>
        <w:rPr>
          <w:rFonts w:ascii="David" w:hAnsi="David" w:cs="David"/>
          <w:sz w:val="24"/>
          <w:szCs w:val="24"/>
          <w:rtl/>
        </w:rPr>
      </w:pPr>
      <w:r w:rsidRPr="001F6E08">
        <w:rPr>
          <w:rFonts w:ascii="David" w:hAnsi="David" w:cs="David"/>
          <w:sz w:val="24"/>
          <w:szCs w:val="24"/>
          <w:rtl/>
        </w:rPr>
        <w:t>בכך כיוון להסתלקות כללית. גם על כך אין מחלוקת (ראו "</w:t>
      </w:r>
      <w:r w:rsidRPr="001F6E08">
        <w:rPr>
          <w:rFonts w:ascii="David" w:hAnsi="David" w:cs="David"/>
          <w:b/>
          <w:bCs/>
          <w:sz w:val="24"/>
          <w:szCs w:val="24"/>
          <w:rtl/>
        </w:rPr>
        <w:t>ירושה – עסקאות בירושה עתידה וצוואות הדדיות" אילנית ואורן שבת</w:t>
      </w:r>
      <w:r w:rsidRPr="001F6E08">
        <w:rPr>
          <w:rFonts w:ascii="David" w:hAnsi="David" w:cs="David"/>
          <w:sz w:val="24"/>
          <w:szCs w:val="24"/>
          <w:rtl/>
        </w:rPr>
        <w:t xml:space="preserve"> עמ' 288 , להלן: שבת).</w:t>
      </w:r>
    </w:p>
    <w:p w:rsidR="008A66E0" w:rsidRPr="001F6E08" w:rsidRDefault="008A66E0" w:rsidP="001F6E08">
      <w:pPr>
        <w:pStyle w:val="ad"/>
        <w:spacing w:after="240" w:line="360" w:lineRule="auto"/>
        <w:ind w:left="369"/>
        <w:contextualSpacing w:val="0"/>
        <w:jc w:val="both"/>
        <w:rPr>
          <w:rFonts w:ascii="David" w:hAnsi="David" w:cs="David"/>
          <w:sz w:val="24"/>
          <w:szCs w:val="24"/>
          <w:rtl/>
        </w:rPr>
      </w:pPr>
      <w:r w:rsidRPr="001F6E08">
        <w:rPr>
          <w:rFonts w:ascii="David" w:hAnsi="David" w:cs="David"/>
          <w:sz w:val="24"/>
          <w:szCs w:val="24"/>
          <w:rtl/>
        </w:rPr>
        <w:t>ומכאן נפרדו הדרכים הן באשר למישור הדיוני של ההסתלקות הן באשר למישור המהותי.</w:t>
      </w:r>
    </w:p>
    <w:p w:rsidR="008A66E0" w:rsidRPr="001F6E08" w:rsidRDefault="008A66E0" w:rsidP="001F6E08">
      <w:pPr>
        <w:pStyle w:val="ad"/>
        <w:numPr>
          <w:ilvl w:val="0"/>
          <w:numId w:val="1"/>
        </w:numPr>
        <w:spacing w:after="240" w:line="360" w:lineRule="auto"/>
        <w:ind w:left="368" w:hanging="357"/>
        <w:contextualSpacing w:val="0"/>
        <w:jc w:val="both"/>
        <w:rPr>
          <w:rFonts w:ascii="David" w:hAnsi="David" w:cs="David"/>
          <w:sz w:val="24"/>
          <w:szCs w:val="24"/>
          <w:u w:val="single"/>
          <w:rtl/>
        </w:rPr>
      </w:pPr>
      <w:r w:rsidRPr="001F6E08">
        <w:rPr>
          <w:rFonts w:ascii="David" w:hAnsi="David" w:cs="David"/>
          <w:sz w:val="24"/>
          <w:szCs w:val="24"/>
          <w:u w:val="single"/>
          <w:rtl/>
        </w:rPr>
        <w:lastRenderedPageBreak/>
        <w:t>המישור הדיוני</w:t>
      </w:r>
    </w:p>
    <w:p w:rsidR="008A66E0" w:rsidRDefault="008A66E0" w:rsidP="001F6E08">
      <w:pPr>
        <w:pStyle w:val="ad"/>
        <w:spacing w:after="240" w:line="360" w:lineRule="auto"/>
        <w:ind w:left="368"/>
        <w:contextualSpacing w:val="0"/>
        <w:jc w:val="both"/>
        <w:rPr>
          <w:rFonts w:ascii="David" w:hAnsi="David" w:cs="David"/>
          <w:sz w:val="24"/>
          <w:szCs w:val="24"/>
          <w:rtl/>
        </w:rPr>
      </w:pPr>
      <w:r w:rsidRPr="001F6E08">
        <w:rPr>
          <w:rFonts w:ascii="David" w:hAnsi="David" w:cs="David"/>
          <w:sz w:val="24"/>
          <w:szCs w:val="24"/>
          <w:rtl/>
        </w:rPr>
        <w:t xml:space="preserve">אין מחלוקת שהאם עשתה שני תצהירי הסתלקות. אין מחלוקת שהתצהיר הראשון היה תצהיר הסתלקות כללית. תצהיר זה נעשה בד בבד עם הצוואה החדשה. שתי הפעולות המשפטיות הלל נעשו באותו יום. אין על כך מחלוקת. די בכך כדי להכשיר את המהלך מבחינה דיונית והמחלוקת באשר לפער הזמנים, ככל שיש לכך חשיבות מבחינה מהותית, מתייתרת. אינני סבור שיש לייחס משקל לתצהיר ההסתלקות השני שהינו תצהיר הסתלקות ספציפי בו הסתלקה האם לטובת ילדי המוריש. אכן, בניגוד לקביעת בית משפט קמא בס' 163 לפסק דינו ההסתלקות על פיו אינה עולה בקנה אחד עם הוראת סעיף 8א(ב)(2)(ב) לחוק הירושה ועומדת בסתירה לו. אכן, זה התצהיר שבעקבותיו תוקן צו הקיום של צוואת האב. ברם, מי שדרש את התצהיר השני היה הרשם לענייני ירושה שסבר שאין די בתצהיר ההסתלקות הראשון. מאחר שההסתלקות נעשית באמצעות שליחת הודעה לרשם לענייני ירושה (ס' 6(א) לחוק הירושה) לא ניתן לזקוף לחובת האם את ההיענות לדרישתו. אמנם המערער חולק על קיומה של דרישה כזו מהרשם לענייני ירושה משלא הוצגה לה ראיה בכתב. ברם, בית משפט קמא נתן אמון מלא בעדותו של עו"ד הרשקוביץ, ב"כ האם, אשר הכין הן את תצהיר ההסתלקות הראשון הן את הצוואה החדשה, לפיה הדרישה הועלתה בשיחה בינו לבין משרדי הרשם לענייני ירושה כך שאין לנו להטיל ספק בקיומה. עו"ד הרשקוביץ העיד כי הוא שוחח עם האם והסביר לה את שיש לעשות כדי לתקף את הסתלקותה ואכן התצהיר הראשון שהגיש היה כדין. כך או כך, כעולה מצו קיום הצוואה המתוקן שניתן אחר המנוח (הובא בס' 113 לפסה"ד) הרשם לענייני ירושה התייחס לתצהיר ההסתלקות השני </w:t>
      </w:r>
      <w:r w:rsidRPr="001F6E08">
        <w:rPr>
          <w:rFonts w:ascii="David" w:hAnsi="David" w:cs="David"/>
          <w:b/>
          <w:bCs/>
          <w:sz w:val="24"/>
          <w:szCs w:val="24"/>
          <w:rtl/>
        </w:rPr>
        <w:t>ככללי</w:t>
      </w:r>
      <w:r w:rsidRPr="001F6E08">
        <w:rPr>
          <w:rFonts w:ascii="David" w:hAnsi="David" w:cs="David"/>
          <w:sz w:val="24"/>
          <w:szCs w:val="24"/>
          <w:rtl/>
        </w:rPr>
        <w:t xml:space="preserve"> ולא כספציפי. הוא ציין שהאם מסתלקת מחלקה על פי הצוואה </w:t>
      </w:r>
      <w:r w:rsidRPr="001F6E08">
        <w:rPr>
          <w:rFonts w:ascii="David" w:hAnsi="David" w:cs="David"/>
          <w:b/>
          <w:bCs/>
          <w:sz w:val="24"/>
          <w:szCs w:val="24"/>
          <w:u w:val="single"/>
          <w:rtl/>
        </w:rPr>
        <w:t>נקודה</w:t>
      </w:r>
      <w:r w:rsidRPr="001F6E08">
        <w:rPr>
          <w:rFonts w:ascii="David" w:hAnsi="David" w:cs="David"/>
          <w:b/>
          <w:bCs/>
          <w:sz w:val="24"/>
          <w:szCs w:val="24"/>
          <w:rtl/>
        </w:rPr>
        <w:t xml:space="preserve"> (</w:t>
      </w:r>
      <w:r w:rsidRPr="001F6E08">
        <w:rPr>
          <w:rFonts w:ascii="David" w:hAnsi="David" w:cs="David"/>
          <w:sz w:val="24"/>
          <w:szCs w:val="24"/>
          <w:rtl/>
        </w:rPr>
        <w:t>יש נקודה בצו</w:t>
      </w:r>
      <w:r w:rsidRPr="001F6E08">
        <w:rPr>
          <w:rFonts w:ascii="David" w:hAnsi="David" w:cs="David"/>
          <w:b/>
          <w:bCs/>
          <w:sz w:val="24"/>
          <w:szCs w:val="24"/>
          <w:rtl/>
        </w:rPr>
        <w:t xml:space="preserve">) </w:t>
      </w:r>
      <w:r w:rsidRPr="001F6E08">
        <w:rPr>
          <w:rFonts w:ascii="David" w:hAnsi="David" w:cs="David"/>
          <w:sz w:val="24"/>
          <w:szCs w:val="24"/>
          <w:rtl/>
        </w:rPr>
        <w:t>ולאחר מכן פירט למי עובר חלקה</w:t>
      </w:r>
      <w:r w:rsidRPr="001F6E08">
        <w:rPr>
          <w:rFonts w:ascii="David" w:hAnsi="David" w:cs="David"/>
          <w:b/>
          <w:bCs/>
          <w:sz w:val="24"/>
          <w:szCs w:val="24"/>
          <w:rtl/>
        </w:rPr>
        <w:t xml:space="preserve">. </w:t>
      </w:r>
      <w:r w:rsidRPr="001F6E08">
        <w:rPr>
          <w:rFonts w:ascii="David" w:hAnsi="David" w:cs="David"/>
          <w:sz w:val="24"/>
          <w:szCs w:val="24"/>
          <w:rtl/>
        </w:rPr>
        <w:t xml:space="preserve">הוא לא רשם שהאם מסתלקת לטובת ילדים אלה ואלה תוך פירוט חלקיהם. זאת ועוד, התוצאה בפועל של תצהיר ההסתלקות המתוקן היא בדיוק כמו התוצאה של ההסתלקות הכללית לה כיוון המחוקק. פרופ' </w:t>
      </w:r>
      <w:r w:rsidRPr="001F6E08">
        <w:rPr>
          <w:rFonts w:ascii="David" w:hAnsi="David" w:cs="David"/>
          <w:b/>
          <w:bCs/>
          <w:sz w:val="24"/>
          <w:szCs w:val="24"/>
          <w:rtl/>
        </w:rPr>
        <w:t>שמואל שילה</w:t>
      </w:r>
      <w:r w:rsidRPr="001F6E08">
        <w:rPr>
          <w:rFonts w:ascii="David" w:hAnsi="David" w:cs="David"/>
          <w:sz w:val="24"/>
          <w:szCs w:val="24"/>
          <w:rtl/>
        </w:rPr>
        <w:t xml:space="preserve"> ז"ל מציין בספרו "חוק הירושה – תשכ"ה – 1965"  (שם, עמ' 427 להלן: </w:t>
      </w:r>
      <w:r w:rsidRPr="001F6E08">
        <w:rPr>
          <w:rFonts w:ascii="David" w:hAnsi="David" w:cs="David"/>
          <w:b/>
          <w:bCs/>
          <w:sz w:val="24"/>
          <w:szCs w:val="24"/>
          <w:rtl/>
        </w:rPr>
        <w:t>שילה</w:t>
      </w:r>
      <w:r w:rsidRPr="001F6E08">
        <w:rPr>
          <w:rFonts w:ascii="David" w:hAnsi="David" w:cs="David"/>
          <w:sz w:val="24"/>
          <w:szCs w:val="24"/>
          <w:rtl/>
        </w:rPr>
        <w:t>), כי במקרה של זוכה לפי צוואה שמסתלק מחלקו בעיזבון "ובהיעדר יורש שיורי" יחולו כללי הירושה על פי דין. הצוואה כללה כאמור הוראת יורש אחר יורש. אם האם כיורש ראשון מסתלקת והיורש השני הוא לא שיורי (אלא יורש שזוכה רק אם הראשון זכה) למעשה הצוואה הייתה צריכה להיות מבוטלת (המנוח הותיר צוואה בלי לקבוע זוכה אחר במקום) והיה צריך לתת צו ירושה אחר מלוא עזבון המנוח.  אלא שבגלל הוראת סעיף 6(ב) לחוק הירושה לפיה "</w:t>
      </w:r>
      <w:r w:rsidRPr="001F6E08">
        <w:rPr>
          <w:rFonts w:ascii="David" w:hAnsi="David" w:cs="David"/>
          <w:b/>
          <w:bCs/>
          <w:sz w:val="24"/>
          <w:szCs w:val="24"/>
          <w:rtl/>
        </w:rPr>
        <w:t>מי שהסתלק מחלקו בעיזבון, רואים אותו במידה שהסתלק כאילו לא היה יורש מלכתחילה</w:t>
      </w:r>
      <w:r w:rsidRPr="001F6E08">
        <w:rPr>
          <w:rFonts w:ascii="David" w:hAnsi="David" w:cs="David"/>
          <w:sz w:val="24"/>
          <w:szCs w:val="24"/>
          <w:rtl/>
        </w:rPr>
        <w:t>" בצו הירושה שהיה ניתן האם לא הייתה יכולה להיכלל כיורשת על פי דין. העיזבון היה מתחלק, אפוא, לשלשת הילדים בלבד בחלקים שווים – בדיוק כמו שציינה בתצהיר ההסתלקות המתוקן וצו קיום הצוואה שניתן בפועל ע"י הרשם לענייני ירושה.</w:t>
      </w:r>
    </w:p>
    <w:p w:rsidR="001F6E08" w:rsidRDefault="001F6E08" w:rsidP="001F6E08">
      <w:pPr>
        <w:pStyle w:val="ad"/>
        <w:spacing w:after="240" w:line="360" w:lineRule="auto"/>
        <w:ind w:left="368"/>
        <w:contextualSpacing w:val="0"/>
        <w:jc w:val="both"/>
        <w:rPr>
          <w:rFonts w:ascii="David" w:hAnsi="David" w:cs="David"/>
          <w:sz w:val="24"/>
          <w:szCs w:val="24"/>
          <w:rtl/>
        </w:rPr>
      </w:pPr>
    </w:p>
    <w:p w:rsidR="001F6E08" w:rsidRPr="001F6E08" w:rsidRDefault="001F6E08" w:rsidP="001F6E08">
      <w:pPr>
        <w:pStyle w:val="ad"/>
        <w:spacing w:after="240" w:line="360" w:lineRule="auto"/>
        <w:ind w:left="368"/>
        <w:contextualSpacing w:val="0"/>
        <w:jc w:val="both"/>
        <w:rPr>
          <w:rFonts w:ascii="David" w:hAnsi="David" w:cs="David"/>
          <w:sz w:val="24"/>
          <w:szCs w:val="24"/>
          <w:rtl/>
        </w:rPr>
      </w:pPr>
    </w:p>
    <w:p w:rsidR="008A66E0" w:rsidRPr="001F6E08" w:rsidRDefault="008A66E0" w:rsidP="001F6E08">
      <w:pPr>
        <w:pStyle w:val="ad"/>
        <w:numPr>
          <w:ilvl w:val="0"/>
          <w:numId w:val="1"/>
        </w:numPr>
        <w:spacing w:after="240" w:line="360" w:lineRule="auto"/>
        <w:ind w:left="368"/>
        <w:contextualSpacing w:val="0"/>
        <w:jc w:val="both"/>
        <w:rPr>
          <w:rFonts w:ascii="David" w:hAnsi="David" w:cs="David"/>
          <w:sz w:val="24"/>
          <w:szCs w:val="24"/>
          <w:u w:val="single"/>
          <w:rtl/>
        </w:rPr>
      </w:pPr>
      <w:r w:rsidRPr="001F6E08">
        <w:rPr>
          <w:rFonts w:ascii="David" w:hAnsi="David" w:cs="David"/>
          <w:sz w:val="24"/>
          <w:szCs w:val="24"/>
          <w:u w:val="single"/>
          <w:rtl/>
        </w:rPr>
        <w:lastRenderedPageBreak/>
        <w:t>המישור המהותי</w:t>
      </w:r>
    </w:p>
    <w:p w:rsidR="008A66E0" w:rsidRPr="001F6E08" w:rsidRDefault="008A66E0" w:rsidP="001F6E08">
      <w:pPr>
        <w:spacing w:after="240" w:line="360" w:lineRule="auto"/>
        <w:ind w:left="368"/>
        <w:jc w:val="both"/>
        <w:rPr>
          <w:rFonts w:ascii="David" w:hAnsi="David"/>
          <w:b/>
          <w:bCs/>
          <w:rtl/>
        </w:rPr>
      </w:pPr>
      <w:r w:rsidRPr="001F6E08">
        <w:rPr>
          <w:rFonts w:ascii="David" w:hAnsi="David"/>
          <w:rtl/>
        </w:rPr>
        <w:t xml:space="preserve">בנוסח שהופיע בהצעת החוק לתיקון מס' 12, אשר הכניס אל ספר החוקים את ס' 8א לחוק הירושה, נקבע גם מה יקרה לאחר ההסתלקות – </w:t>
      </w:r>
      <w:r w:rsidRPr="001F6E08">
        <w:rPr>
          <w:rFonts w:ascii="David" w:hAnsi="David"/>
          <w:b/>
          <w:bCs/>
          <w:rtl/>
        </w:rPr>
        <w:t>"הסתלק כאמור, יירש את אותו חלק מי שלפי הצוואה ההדדית זוכה במות בן הזוג שנותר, ואם אין זוכה כאמור, מי שזכאי לרשת לפי דין את בן הזוג שנפטר".</w:t>
      </w:r>
    </w:p>
    <w:p w:rsidR="008A66E0" w:rsidRPr="001F6E08" w:rsidRDefault="008A66E0" w:rsidP="001F6E08">
      <w:pPr>
        <w:spacing w:after="240" w:line="360" w:lineRule="auto"/>
        <w:ind w:left="368"/>
        <w:jc w:val="both"/>
        <w:rPr>
          <w:rFonts w:ascii="David" w:hAnsi="David"/>
          <w:rtl/>
        </w:rPr>
      </w:pPr>
      <w:r w:rsidRPr="001F6E08">
        <w:rPr>
          <w:rFonts w:ascii="David" w:hAnsi="David"/>
          <w:rtl/>
        </w:rPr>
        <w:t xml:space="preserve">בהצעת החוק כיוונו עורכיה </w:t>
      </w:r>
      <w:r w:rsidRPr="001F6E08">
        <w:rPr>
          <w:rFonts w:ascii="David" w:hAnsi="David"/>
          <w:b/>
          <w:bCs/>
          <w:rtl/>
        </w:rPr>
        <w:t>בדיוק למקרה שלנו</w:t>
      </w:r>
      <w:r w:rsidRPr="001F6E08">
        <w:rPr>
          <w:rFonts w:ascii="David" w:hAnsi="David"/>
          <w:rtl/>
        </w:rPr>
        <w:t>: מקרה שבו יש בצוואה הדדית הוראת יורש אחר יורש והיורש הראשון (בן הזוג שנותר בחיים) מחליט להסתלק מחלקו בעיזבון. מנסחי הצעת החוק ביקשו שבמקרה כזה היורש השני (כיורש אחר יורש –שהרי הוא הזוכה במות בן הזוג שנותר) יירש את חלקו בעיזבון. היינו -היורש השני לא יפגע מההסתלקות של הראשון.</w:t>
      </w:r>
    </w:p>
    <w:p w:rsidR="008A66E0" w:rsidRPr="001F6E08" w:rsidRDefault="008A66E0" w:rsidP="001F6E08">
      <w:pPr>
        <w:spacing w:after="240" w:line="360" w:lineRule="auto"/>
        <w:ind w:left="368"/>
        <w:jc w:val="both"/>
        <w:rPr>
          <w:rFonts w:ascii="David" w:hAnsi="David"/>
          <w:rtl/>
        </w:rPr>
      </w:pPr>
      <w:r w:rsidRPr="001F6E08">
        <w:rPr>
          <w:rFonts w:ascii="David" w:hAnsi="David"/>
          <w:rtl/>
        </w:rPr>
        <w:t xml:space="preserve">המערער הוא שהפנה להצעת החוק והדגיש את הדברים בהודעת הערעור (בס' 31-33) בלי שציין שהנוסח הזה, של הצעת החוק, </w:t>
      </w:r>
      <w:r w:rsidRPr="001F6E08">
        <w:rPr>
          <w:rFonts w:ascii="David" w:hAnsi="David"/>
          <w:b/>
          <w:bCs/>
          <w:u w:val="single"/>
          <w:rtl/>
        </w:rPr>
        <w:t>לא</w:t>
      </w:r>
      <w:r w:rsidRPr="001F6E08">
        <w:rPr>
          <w:rFonts w:ascii="David" w:hAnsi="David"/>
          <w:rtl/>
        </w:rPr>
        <w:t xml:space="preserve"> התקבל בפועל.</w:t>
      </w:r>
    </w:p>
    <w:p w:rsidR="008A66E0" w:rsidRPr="001F6E08" w:rsidRDefault="008A66E0" w:rsidP="001F6E08">
      <w:pPr>
        <w:spacing w:after="240" w:line="360" w:lineRule="auto"/>
        <w:ind w:left="368"/>
        <w:jc w:val="both"/>
        <w:rPr>
          <w:rFonts w:ascii="David" w:hAnsi="David"/>
          <w:rtl/>
        </w:rPr>
      </w:pPr>
      <w:r w:rsidRPr="001F6E08">
        <w:rPr>
          <w:rFonts w:ascii="David" w:hAnsi="David"/>
          <w:rtl/>
        </w:rPr>
        <w:t>משכך, את המשמעות של הסתלקות היורש הראשון ותוצאותיה, לעניין חלוקת העיזבון ממנו הסתלק היורש הראשון, יש למצוא בהוראות חוק הירושה הקיימות.</w:t>
      </w:r>
    </w:p>
    <w:p w:rsidR="008A66E0" w:rsidRPr="001F6E08" w:rsidRDefault="008A66E0" w:rsidP="001F6E08">
      <w:pPr>
        <w:spacing w:after="240" w:line="360" w:lineRule="auto"/>
        <w:ind w:left="368"/>
        <w:jc w:val="both"/>
        <w:rPr>
          <w:rFonts w:ascii="David" w:hAnsi="David"/>
          <w:rtl/>
        </w:rPr>
      </w:pPr>
      <w:r w:rsidRPr="001F6E08">
        <w:rPr>
          <w:rFonts w:ascii="David" w:hAnsi="David"/>
          <w:rtl/>
        </w:rPr>
        <w:t xml:space="preserve">ההוראה הרלבנטית – הוראת ס' 50 לחוק הירושה שקובעת – </w:t>
      </w:r>
    </w:p>
    <w:p w:rsidR="008A66E0" w:rsidRPr="001F6E08" w:rsidRDefault="008A66E0" w:rsidP="001F6E08">
      <w:pPr>
        <w:spacing w:after="240" w:line="360" w:lineRule="auto"/>
        <w:ind w:left="368"/>
        <w:jc w:val="both"/>
        <w:rPr>
          <w:rFonts w:ascii="David" w:hAnsi="David"/>
          <w:rtl/>
        </w:rPr>
      </w:pPr>
      <w:r w:rsidRPr="001F6E08">
        <w:rPr>
          <w:rFonts w:ascii="David" w:hAnsi="David"/>
          <w:rtl/>
        </w:rPr>
        <w:t>"</w:t>
      </w:r>
      <w:r w:rsidRPr="001F6E08">
        <w:rPr>
          <w:rFonts w:ascii="David" w:hAnsi="David"/>
          <w:b/>
          <w:bCs/>
          <w:rtl/>
        </w:rPr>
        <w:t xml:space="preserve">זוכה על פי צוואה שנמצא פסול לרשת או שהסתלק מן המגיע לו, שלא לטובת בן זוגו, ילדו או אחיו של המוריש, </w:t>
      </w:r>
      <w:r w:rsidRPr="001F6E08">
        <w:rPr>
          <w:rFonts w:ascii="David" w:hAnsi="David"/>
          <w:b/>
          <w:bCs/>
          <w:u w:val="single"/>
          <w:rtl/>
        </w:rPr>
        <w:t>ולא קבע המצווה אדם אחר שיזכה במקומו</w:t>
      </w:r>
      <w:r w:rsidRPr="001F6E08">
        <w:rPr>
          <w:rFonts w:ascii="David" w:hAnsi="David"/>
          <w:b/>
          <w:bCs/>
          <w:rtl/>
        </w:rPr>
        <w:t>, הוראת הצוואה לטובתו מתבטלת</w:t>
      </w:r>
      <w:r w:rsidRPr="001F6E08">
        <w:rPr>
          <w:rFonts w:ascii="David" w:hAnsi="David"/>
          <w:rtl/>
        </w:rPr>
        <w:t>" (הדגשה שלי ש'ש').</w:t>
      </w:r>
    </w:p>
    <w:p w:rsidR="008A66E0" w:rsidRPr="001F6E08" w:rsidRDefault="008A66E0" w:rsidP="001F6E08">
      <w:pPr>
        <w:spacing w:after="240" w:line="360" w:lineRule="auto"/>
        <w:ind w:left="368"/>
        <w:jc w:val="both"/>
        <w:rPr>
          <w:rFonts w:ascii="David" w:hAnsi="David"/>
          <w:rtl/>
        </w:rPr>
      </w:pPr>
      <w:r w:rsidRPr="001F6E08">
        <w:rPr>
          <w:rFonts w:ascii="David" w:hAnsi="David"/>
          <w:rtl/>
        </w:rPr>
        <w:t>מאחר שמי שהסתלק מחלקו בעיזבון רואים אותו במידה שהסתלק כאילו לא היה יורש מלכתחילה (ס' 6(ב) לחוק) אזי, בין אם מדובר בצוואה הדדית ובין בצוואה רגילה, יורש ראשון שמסתלק הסתלקות כללית מחלקו בעיזבון – ומכאן שהוא לא יורש מלכתחילה וההוראה לטובתו מתבטלת – שומט את הקרקע מתחת לזכות היורש השני לרשת, שכן תנאי לירושת השני ב"יורש אחר יורש" היא ש"</w:t>
      </w:r>
      <w:r w:rsidRPr="001F6E08">
        <w:rPr>
          <w:rFonts w:ascii="David" w:hAnsi="David"/>
          <w:b/>
          <w:bCs/>
          <w:rtl/>
        </w:rPr>
        <w:t>זכה הראשון</w:t>
      </w:r>
      <w:r w:rsidRPr="001F6E08">
        <w:rPr>
          <w:rFonts w:ascii="David" w:hAnsi="David"/>
          <w:rtl/>
        </w:rPr>
        <w:t>" (ס' 42(א) לחוק).</w:t>
      </w:r>
    </w:p>
    <w:p w:rsidR="008A66E0" w:rsidRPr="001F6E08" w:rsidRDefault="008A66E0" w:rsidP="001F6E08">
      <w:pPr>
        <w:spacing w:after="240" w:line="360" w:lineRule="auto"/>
        <w:ind w:left="368"/>
        <w:jc w:val="both"/>
        <w:rPr>
          <w:rFonts w:ascii="David" w:hAnsi="David"/>
          <w:rtl/>
        </w:rPr>
      </w:pPr>
      <w:r w:rsidRPr="001F6E08">
        <w:rPr>
          <w:rFonts w:ascii="David" w:hAnsi="David"/>
          <w:rtl/>
        </w:rPr>
        <w:t>ומה התוצאה?</w:t>
      </w:r>
    </w:p>
    <w:p w:rsidR="008A66E0" w:rsidRPr="001F6E08" w:rsidRDefault="008A66E0" w:rsidP="001F6E08">
      <w:pPr>
        <w:spacing w:after="240" w:line="360" w:lineRule="auto"/>
        <w:ind w:left="368"/>
        <w:jc w:val="both"/>
        <w:rPr>
          <w:rFonts w:ascii="David" w:hAnsi="David"/>
          <w:rtl/>
        </w:rPr>
      </w:pPr>
      <w:r w:rsidRPr="001F6E08">
        <w:rPr>
          <w:rFonts w:ascii="David" w:hAnsi="David"/>
          <w:rtl/>
        </w:rPr>
        <w:t xml:space="preserve">חלק העיזבון מושא ההסתלקות יחולק לפי כללי הירושה על פי דין (ע"א 1022/90 </w:t>
      </w:r>
      <w:r w:rsidRPr="001F6E08">
        <w:rPr>
          <w:rFonts w:ascii="David" w:hAnsi="David"/>
          <w:b/>
          <w:bCs/>
          <w:rtl/>
        </w:rPr>
        <w:t xml:space="preserve">היועמ"ש נ' כהן </w:t>
      </w:r>
      <w:r w:rsidRPr="001F6E08">
        <w:rPr>
          <w:rFonts w:ascii="David" w:hAnsi="David"/>
          <w:rtl/>
        </w:rPr>
        <w:t>מז(1) 307). כך גם בספרות המקצועית. כך שילה בספרו (שם, בעמ' 427): במקרה של זוכה שהסתלק הסתלקות כללית אזי "</w:t>
      </w:r>
      <w:r w:rsidRPr="001F6E08">
        <w:rPr>
          <w:rFonts w:ascii="David" w:hAnsi="David"/>
          <w:b/>
          <w:bCs/>
          <w:rtl/>
        </w:rPr>
        <w:t>יש לראות את המצב כאילו אין התייחסות של המוריש בצוואתו לאותו חלק שבעיזבונו ובאין יורש שיורי מפורש בצוואתו, יש לראות את המצב כמצב בו יש ירושה חלקית על פי דין.....חלק מעיזבונו יחולק על פי החלקים התקפים שבצוואתו, וחלק מעיזבונו יחולק על פי דין כתוצאה מבטלות ההוראה שבצוואה".</w:t>
      </w:r>
    </w:p>
    <w:p w:rsidR="008A66E0" w:rsidRPr="001F6E08" w:rsidRDefault="008A66E0" w:rsidP="001F6E08">
      <w:pPr>
        <w:spacing w:after="240" w:line="360" w:lineRule="auto"/>
        <w:ind w:left="368"/>
        <w:jc w:val="both"/>
        <w:rPr>
          <w:rFonts w:ascii="David" w:hAnsi="David"/>
          <w:rtl/>
        </w:rPr>
      </w:pPr>
      <w:r w:rsidRPr="001F6E08">
        <w:rPr>
          <w:rFonts w:ascii="David" w:hAnsi="David"/>
          <w:rtl/>
        </w:rPr>
        <w:lastRenderedPageBreak/>
        <w:t>חלק העיזבון מושא ההסתלקות יחולק, אפוא, לפי כללי הירושה על פי דין למעט בן הזוג שהסתלק שהרי לפי ס' 6(ב) לחוק הירושה רואים אותו כאילו לא היה יורש מלכתחילה.</w:t>
      </w:r>
    </w:p>
    <w:p w:rsidR="008A66E0" w:rsidRPr="001F6E08" w:rsidRDefault="008A66E0" w:rsidP="001F6E08">
      <w:pPr>
        <w:spacing w:after="240" w:line="360" w:lineRule="auto"/>
        <w:ind w:left="368"/>
        <w:jc w:val="both"/>
        <w:rPr>
          <w:rFonts w:ascii="David" w:hAnsi="David"/>
          <w:rtl/>
        </w:rPr>
      </w:pPr>
      <w:r w:rsidRPr="001F6E08">
        <w:rPr>
          <w:rFonts w:ascii="David" w:hAnsi="David"/>
          <w:rtl/>
        </w:rPr>
        <w:t>בספרם "</w:t>
      </w:r>
      <w:r w:rsidRPr="001F6E08">
        <w:rPr>
          <w:rFonts w:ascii="David" w:hAnsi="David"/>
          <w:b/>
          <w:bCs/>
          <w:rtl/>
        </w:rPr>
        <w:t>ירושה – עסקאות בירושה עתידה וצוואות הדדיות</w:t>
      </w:r>
      <w:r w:rsidRPr="001F6E08">
        <w:rPr>
          <w:rFonts w:ascii="David" w:hAnsi="David"/>
          <w:rtl/>
        </w:rPr>
        <w:t>" נדרשים המחברים אילנית ואורן שבת לסוגיה שלפנינו לנושא הזה ומציינים שההסדר שהוצע בהצעת החוק שלפיו יזכה היורש השני במקרה של הסתלקות היורש הראשון לא אומץ ובכך המחוקק בחר להכיל את ברירת המחדל של הוראת סעיף 50 לחוק הירושה שקובעת שההוראה לטובת היורש שהסתלק מבוטלת במקרה ש"</w:t>
      </w:r>
      <w:r w:rsidRPr="001F6E08">
        <w:rPr>
          <w:rFonts w:ascii="David" w:hAnsi="David"/>
          <w:b/>
          <w:bCs/>
          <w:rtl/>
        </w:rPr>
        <w:t>לא קבע המצווה אחר שיזכה במקומו</w:t>
      </w:r>
      <w:r w:rsidRPr="001F6E08">
        <w:rPr>
          <w:rFonts w:ascii="David" w:hAnsi="David"/>
          <w:rtl/>
        </w:rPr>
        <w:t>" מה שמביא לזיכוי היורשים על פי דין על פי דין באותו חלק או מנה בעיזבון (שם, עמ' 292-288).</w:t>
      </w:r>
    </w:p>
    <w:p w:rsidR="008A66E0" w:rsidRPr="001F6E08" w:rsidRDefault="008A66E0" w:rsidP="001F6E08">
      <w:pPr>
        <w:spacing w:after="240" w:line="360" w:lineRule="auto"/>
        <w:ind w:left="368"/>
        <w:jc w:val="both"/>
        <w:rPr>
          <w:rFonts w:ascii="David" w:hAnsi="David"/>
          <w:rtl/>
        </w:rPr>
      </w:pPr>
      <w:r w:rsidRPr="001F6E08">
        <w:rPr>
          <w:rFonts w:ascii="David" w:hAnsi="David"/>
          <w:rtl/>
        </w:rPr>
        <w:t>ודוקו! אין זה הכרח שלא ניתן להימנע ממנו. להבדיל מביטול צוואה הדדית בחיי בני הזוג ניתן להתנות על 'ההכרח' האמור ולשלול, באמצעות הוראה בגוף הצוואות, את זכותו של בן הזוג שנותר בחיים לבטל או לשנות את צוואתו לאחר מות אחד מבני הזוג. הוראת סעיף 8א(ג), על דרך מכלל לאו שומעין הן, מאפשרת זאת: "</w:t>
      </w:r>
      <w:r w:rsidRPr="001F6E08">
        <w:rPr>
          <w:rFonts w:ascii="David" w:hAnsi="David"/>
          <w:b/>
          <w:bCs/>
          <w:rtl/>
        </w:rPr>
        <w:t xml:space="preserve">הוראות סעיף קטן (ב) יחולו אם אין בצוואות ההדדיות הוראה אחרת, ואולם הוראה השוללת לחלוטין את הזכות לבטל את הצוואה </w:t>
      </w:r>
      <w:r w:rsidRPr="001F6E08">
        <w:rPr>
          <w:rFonts w:ascii="David" w:hAnsi="David"/>
          <w:b/>
          <w:bCs/>
          <w:u w:val="single"/>
          <w:rtl/>
        </w:rPr>
        <w:t>בחיי שני בני הזוג</w:t>
      </w:r>
      <w:r w:rsidRPr="001F6E08">
        <w:rPr>
          <w:rFonts w:ascii="David" w:hAnsi="David"/>
          <w:b/>
          <w:bCs/>
          <w:rtl/>
        </w:rPr>
        <w:t xml:space="preserve"> – בטלה"</w:t>
      </w:r>
      <w:r w:rsidRPr="001F6E08">
        <w:rPr>
          <w:rFonts w:ascii="David" w:hAnsi="David"/>
          <w:rtl/>
        </w:rPr>
        <w:t xml:space="preserve"> (הדגשה שלי ש' ש'. ראו גם </w:t>
      </w:r>
      <w:r w:rsidRPr="001F6E08">
        <w:rPr>
          <w:rFonts w:ascii="David" w:hAnsi="David"/>
          <w:b/>
          <w:bCs/>
          <w:rtl/>
        </w:rPr>
        <w:t>אילנית חלפון ואורן שבת</w:t>
      </w:r>
      <w:r w:rsidRPr="001F6E08">
        <w:rPr>
          <w:rFonts w:ascii="David" w:hAnsi="David"/>
          <w:rtl/>
        </w:rPr>
        <w:t>, שם, עמ' 303-302). הוראה כזו מותירה על כנה את זהות הזוכים שנקבעו בצוואה ההדדית. זאת ועוד, גם בהכללה של הוראת "יורש במקום יורש" בצוואות הדדיות יש משום פתרון ל'הכרח' האמור. הוראת ס' 41 לחוק הירושה קובעת, כי "</w:t>
      </w:r>
      <w:r w:rsidRPr="001F6E08">
        <w:rPr>
          <w:rFonts w:ascii="David" w:hAnsi="David"/>
          <w:b/>
          <w:bCs/>
          <w:rtl/>
        </w:rPr>
        <w:t>המצווה רשאי לצוות לשניים על מנת שיזכה השני אם לא זכה הראשון ; השני יזכה אם מת הראשון לפני המצווה או שנמצא פסול לרשת או שהסתלק מן המגיע לו שלא לטובת בן זוגו, ילדו או אחיו של המוריש</w:t>
      </w:r>
      <w:r w:rsidRPr="001F6E08">
        <w:rPr>
          <w:rFonts w:ascii="David" w:hAnsi="David"/>
          <w:rtl/>
        </w:rPr>
        <w:t>". הוראה בצוואות הדדיות לפיה יזכה הזוכה השני במקרה בו יסתלק בן הזוג שנותר בחיים (הראשון) או יימצא פסול מלרשת- קרי, במקומו להבדיל לאחר זכייתו (ס' 42 לחוק הירושה) מעבירה אף היא את רוע הגזרה.</w:t>
      </w:r>
    </w:p>
    <w:p w:rsidR="008A66E0" w:rsidRPr="001F6E08" w:rsidRDefault="008A66E0" w:rsidP="001F6E08">
      <w:pPr>
        <w:pStyle w:val="ad"/>
        <w:numPr>
          <w:ilvl w:val="0"/>
          <w:numId w:val="1"/>
        </w:numPr>
        <w:spacing w:after="240" w:line="360" w:lineRule="auto"/>
        <w:ind w:left="363" w:hanging="357"/>
        <w:contextualSpacing w:val="0"/>
        <w:jc w:val="both"/>
        <w:rPr>
          <w:rFonts w:ascii="David" w:hAnsi="David" w:cs="David"/>
          <w:sz w:val="24"/>
          <w:szCs w:val="24"/>
          <w:rtl/>
        </w:rPr>
      </w:pPr>
      <w:r w:rsidRPr="001F6E08">
        <w:rPr>
          <w:rFonts w:ascii="David" w:hAnsi="David" w:cs="David"/>
          <w:sz w:val="24"/>
          <w:szCs w:val="24"/>
          <w:rtl/>
        </w:rPr>
        <w:t>בישיבה השנייה שקיימנו בערעור, ביום 28.9.23, הצגנו לפני הצדדים את האפשרות שמציע פרופ' שמואל שילה ז"ל בספרו (שם, עמ' 65, בנוגע למקרה בו נפסל הזוכה הראשון מלרשת עקב הרשעתו ברצח המוריש) לפרש את המילה "</w:t>
      </w:r>
      <w:r w:rsidRPr="001F6E08">
        <w:rPr>
          <w:rFonts w:ascii="David" w:hAnsi="David" w:cs="David"/>
          <w:b/>
          <w:bCs/>
          <w:sz w:val="24"/>
          <w:szCs w:val="24"/>
          <w:rtl/>
        </w:rPr>
        <w:t xml:space="preserve">במקום </w:t>
      </w:r>
      <w:r w:rsidRPr="001F6E08">
        <w:rPr>
          <w:rFonts w:ascii="David" w:hAnsi="David" w:cs="David"/>
          <w:sz w:val="24"/>
          <w:szCs w:val="24"/>
          <w:rtl/>
        </w:rPr>
        <w:t>(מו)" בסעיף 50 לחוק הירושה ככזו שמכוונת לאדם אחר מלבד הזוכה הראשון – במילים אחרות "זולת" הזוכה הראשון - ובכך לראותה ככוללת גם את הזוכה השני. בטיעונים המשלימים אחז המערער באפשרות זו.</w:t>
      </w:r>
    </w:p>
    <w:p w:rsidR="008A66E0" w:rsidRPr="001F6E08" w:rsidRDefault="008A66E0" w:rsidP="001F6E08">
      <w:pPr>
        <w:spacing w:after="240" w:line="360" w:lineRule="auto"/>
        <w:ind w:left="368"/>
        <w:jc w:val="both"/>
        <w:rPr>
          <w:rFonts w:ascii="David" w:hAnsi="David"/>
          <w:rtl/>
        </w:rPr>
      </w:pPr>
      <w:r w:rsidRPr="001F6E08">
        <w:rPr>
          <w:rFonts w:ascii="David" w:hAnsi="David"/>
          <w:rtl/>
        </w:rPr>
        <w:t xml:space="preserve">לאחר שבחנתי את הפרשנות המוצעת, באתי לידי מסקנה שאין לקבלה. </w:t>
      </w:r>
    </w:p>
    <w:p w:rsidR="008A66E0" w:rsidRPr="001F6E08" w:rsidRDefault="008A66E0" w:rsidP="001F6E08">
      <w:pPr>
        <w:spacing w:after="240" w:line="360" w:lineRule="auto"/>
        <w:ind w:left="368"/>
        <w:jc w:val="both"/>
        <w:rPr>
          <w:rFonts w:ascii="David" w:hAnsi="David"/>
          <w:rtl/>
        </w:rPr>
      </w:pPr>
      <w:r w:rsidRPr="001F6E08">
        <w:rPr>
          <w:rFonts w:ascii="David" w:hAnsi="David"/>
          <w:rtl/>
        </w:rPr>
        <w:t>לפרשנות המוצעת השלכות רוחב שקשה להעריך אותן. להמחשה: המילים "</w:t>
      </w:r>
      <w:r w:rsidRPr="001F6E08">
        <w:rPr>
          <w:rFonts w:ascii="David" w:hAnsi="David"/>
          <w:b/>
          <w:bCs/>
          <w:rtl/>
        </w:rPr>
        <w:t>לא קבע המצווה אדם אחר שיזכה במקומ</w:t>
      </w:r>
      <w:r w:rsidRPr="001F6E08">
        <w:rPr>
          <w:rFonts w:ascii="David" w:hAnsi="David"/>
          <w:rtl/>
        </w:rPr>
        <w:t xml:space="preserve">ו" לא מופיעות רק בס' 50 לחוק הירושה. הן מופיעות גם בס' 49 לחוק הירושה לגבי יורש שמת לפני המוריש. אם נאמר שהמילה ב"מקום" בס' 50 מכילה גם מקרה שבו המנוח לא רשם הוראת </w:t>
      </w:r>
      <w:r w:rsidRPr="001F6E08">
        <w:rPr>
          <w:rFonts w:ascii="David" w:hAnsi="David"/>
          <w:u w:val="single"/>
          <w:rtl/>
        </w:rPr>
        <w:t>יורש במקום יורש</w:t>
      </w:r>
      <w:r w:rsidRPr="001F6E08">
        <w:rPr>
          <w:rFonts w:ascii="David" w:hAnsi="David"/>
          <w:rtl/>
        </w:rPr>
        <w:t xml:space="preserve"> בצוואה אלא הסתפק בהוראת </w:t>
      </w:r>
      <w:r w:rsidRPr="001F6E08">
        <w:rPr>
          <w:rFonts w:ascii="David" w:hAnsi="David"/>
          <w:u w:val="single"/>
          <w:rtl/>
        </w:rPr>
        <w:t>יורש אחר יורש</w:t>
      </w:r>
      <w:r w:rsidRPr="001F6E08">
        <w:rPr>
          <w:rFonts w:ascii="David" w:hAnsi="David"/>
          <w:rtl/>
        </w:rPr>
        <w:t xml:space="preserve">, לכאורה יש להחיל זאת גם לגבי ס' 49 לחוק. אם כך, התוצאה תהייה שבמקרה שבו יש בצוואה הוראת יורש </w:t>
      </w:r>
      <w:r w:rsidRPr="001F6E08">
        <w:rPr>
          <w:rFonts w:ascii="David" w:hAnsi="David"/>
          <w:rtl/>
        </w:rPr>
        <w:lastRenderedPageBreak/>
        <w:t xml:space="preserve">אחר יורש והיורש הראשון מת לפני המצווה/המוריש גם אז יעבור עיזבונו, במקום לצאצאים של הזוכה הראשון, ליורש השני שהמנוח קבע. זו התוצאה למרות הוראת הסעיף. </w:t>
      </w:r>
    </w:p>
    <w:p w:rsidR="008A66E0" w:rsidRPr="001F6E08" w:rsidRDefault="008A66E0" w:rsidP="001F6E08">
      <w:pPr>
        <w:spacing w:after="240" w:line="360" w:lineRule="auto"/>
        <w:ind w:left="368"/>
        <w:jc w:val="both"/>
        <w:rPr>
          <w:rFonts w:ascii="David" w:hAnsi="David"/>
          <w:rtl/>
        </w:rPr>
      </w:pPr>
      <w:r w:rsidRPr="001F6E08">
        <w:rPr>
          <w:rFonts w:ascii="David" w:hAnsi="David"/>
          <w:rtl/>
        </w:rPr>
        <w:t>רוצה לומר, פרשנות שכזו, לה יש השלכות רוחב כאמור, צריכה תימוכין (בדברי ההסבר להצעת החוק למשל) ודומה שגם פרופ' שילה מודע לכך. לא בכדי מעלה הוא את הפרשנות המוצעת כאפשרות בלבד באומרו שאם מפרשים את הסעיפים (סעיפים 41 ו - 50 לחוק הירושה) לפי לשונם בלבד "</w:t>
      </w:r>
      <w:r w:rsidRPr="001F6E08">
        <w:rPr>
          <w:rFonts w:ascii="David" w:hAnsi="David"/>
          <w:b/>
          <w:bCs/>
          <w:rtl/>
        </w:rPr>
        <w:t>המסקנה המתבקשת היא שהמחוקק התייחס מפורשות לפסלות הראשון בסעיף 41 (יורש במקום יורש) וקבע את פסלות הראשון כגורם לזכיית השני, והתכוון להסדר שלילי בס' 42 (יורש אחר יורש) בכך שלא הזכיר את פסלות הראשון, כגורם לזכיית השני</w:t>
      </w:r>
      <w:r w:rsidRPr="001F6E08">
        <w:rPr>
          <w:rFonts w:ascii="David" w:hAnsi="David"/>
          <w:rtl/>
        </w:rPr>
        <w:t>" (</w:t>
      </w:r>
      <w:r w:rsidRPr="001F6E08">
        <w:rPr>
          <w:rFonts w:ascii="David" w:hAnsi="David"/>
          <w:b/>
          <w:bCs/>
          <w:rtl/>
        </w:rPr>
        <w:t>שילה</w:t>
      </w:r>
      <w:r w:rsidRPr="001F6E08">
        <w:rPr>
          <w:rFonts w:ascii="David" w:hAnsi="David"/>
          <w:rtl/>
        </w:rPr>
        <w:t>, שם עמ' 66). לדבריו "</w:t>
      </w:r>
      <w:r w:rsidRPr="001F6E08">
        <w:rPr>
          <w:rFonts w:ascii="David" w:hAnsi="David"/>
          <w:b/>
          <w:bCs/>
          <w:rtl/>
        </w:rPr>
        <w:t>כנראה שהמחוקק לא היה ער למקרה שהעלינו ולכן כנראה לא קבע כהצעתנו</w:t>
      </w:r>
      <w:r w:rsidRPr="001F6E08">
        <w:rPr>
          <w:rFonts w:ascii="David" w:hAnsi="David"/>
          <w:rtl/>
        </w:rPr>
        <w:t>" (שם, עמ' 65). מסקנה זו מתחזקת לאור דחיית נוסח הצעת החוק שלא התקבל .</w:t>
      </w:r>
    </w:p>
    <w:p w:rsidR="008A66E0" w:rsidRPr="001F6E08" w:rsidRDefault="008A66E0" w:rsidP="001F6E08">
      <w:pPr>
        <w:pStyle w:val="ad"/>
        <w:numPr>
          <w:ilvl w:val="0"/>
          <w:numId w:val="1"/>
        </w:numPr>
        <w:spacing w:after="240" w:line="360" w:lineRule="auto"/>
        <w:ind w:left="368"/>
        <w:contextualSpacing w:val="0"/>
        <w:jc w:val="both"/>
        <w:rPr>
          <w:rFonts w:ascii="David" w:hAnsi="David" w:cs="David"/>
          <w:sz w:val="24"/>
          <w:szCs w:val="24"/>
          <w:rtl/>
        </w:rPr>
      </w:pPr>
      <w:r w:rsidRPr="001F6E08">
        <w:rPr>
          <w:rFonts w:ascii="David" w:eastAsia="Times New Roman" w:hAnsi="David" w:cs="David"/>
          <w:spacing w:val="10"/>
          <w:sz w:val="24"/>
          <w:szCs w:val="24"/>
          <w:rtl/>
        </w:rPr>
        <w:t>קראתי בעיון את טיעוני ההשלמה של המערער</w:t>
      </w:r>
      <w:r w:rsidRPr="001F6E08">
        <w:rPr>
          <w:rFonts w:ascii="David" w:hAnsi="David" w:cs="David"/>
          <w:sz w:val="24"/>
          <w:szCs w:val="24"/>
          <w:rtl/>
        </w:rPr>
        <w:t>.</w:t>
      </w:r>
    </w:p>
    <w:p w:rsidR="008A66E0" w:rsidRPr="001F6E08" w:rsidRDefault="008A66E0" w:rsidP="001F6E08">
      <w:pPr>
        <w:spacing w:after="240" w:line="360" w:lineRule="auto"/>
        <w:ind w:left="368"/>
        <w:jc w:val="both"/>
        <w:rPr>
          <w:rFonts w:ascii="David" w:hAnsi="David"/>
        </w:rPr>
      </w:pPr>
      <w:r w:rsidRPr="001F6E08">
        <w:rPr>
          <w:rFonts w:ascii="David" w:hAnsi="David"/>
          <w:rtl/>
        </w:rPr>
        <w:t>אין מחלוקת כי עיקרון העל בדיני צוואות הוא לקיים את דברי המצווה. בעשותו צוואת יורש אחר יורש ביקש האב להוריש 80% ממה שתותיר אשתו והיא כזוכה הראשונה יכולה, באין הגבלה בצוואה, לעשות במה שזכתה כבשלה. לפיכך אין לומר כי האב ביקש להוריש "באופן כללי" חלק זה למערער. חזקה על האב שידע כי המערער יזכה במה שתותיר האם, האישה.</w:t>
      </w:r>
    </w:p>
    <w:p w:rsidR="008A66E0" w:rsidRPr="001F6E08" w:rsidRDefault="008A66E0" w:rsidP="001F6E08">
      <w:pPr>
        <w:spacing w:after="240" w:line="360" w:lineRule="auto"/>
        <w:ind w:left="368"/>
        <w:jc w:val="both"/>
        <w:rPr>
          <w:rFonts w:ascii="David" w:hAnsi="David"/>
          <w:rtl/>
        </w:rPr>
      </w:pPr>
      <w:r w:rsidRPr="001F6E08">
        <w:rPr>
          <w:rFonts w:ascii="David" w:hAnsi="David"/>
          <w:rtl/>
        </w:rPr>
        <w:t>אין לפרש הוראת יורש אחר יורש בצוואה כמכוונת, בכל מקרה (גם), להוראת יורש במקום יורש. יש לאפשר לזוכה השני להוכיח כי זו הייתה כוונת המצווה בצוואתו באמצעות תובענה לפרשנות צוואה (שוחט, גולדברג, פלומין "</w:t>
      </w:r>
      <w:r w:rsidRPr="001F6E08">
        <w:rPr>
          <w:rFonts w:ascii="David" w:hAnsi="David"/>
          <w:b/>
          <w:bCs/>
          <w:rtl/>
        </w:rPr>
        <w:t>דיני ירושה ועיזבון</w:t>
      </w:r>
      <w:r w:rsidRPr="001F6E08">
        <w:rPr>
          <w:rFonts w:ascii="David" w:hAnsi="David"/>
          <w:rtl/>
        </w:rPr>
        <w:t xml:space="preserve">" מהדורה שביעית, עמ' 150). לא ניתן לקבוע מראש שכל הוראת יורש אחר יורש תיחשב גם כהוראת יורש במקום יורש. לפיכך, אין כל בסיס לחשש שמעלה המערער בדבר ריקון מתוכן של צוואות מופקדות שבהן "ברור" שרצון המצווים הוא שהוראת יורש אחר יורש בהן תהא גם יורש אחר יורש. כיצד ברור? יתכבד הזוכה השני (שהוראת הצוואה לטובתו קובעת כי הוא יורש רק אחרי מות הראשון וסבור שכוונת המצווה הייתה שיזכה גם במקרה בו הראשון לא זכה ובמקומו, הגם שהדברים לא מצאו ביטוי לכך בצוואה) ויגיש תובענה לפרשנות צוואה. פסק הדין בע"א 749/82 </w:t>
      </w:r>
      <w:r w:rsidRPr="001F6E08">
        <w:rPr>
          <w:rFonts w:ascii="David" w:hAnsi="David"/>
          <w:b/>
          <w:bCs/>
          <w:rtl/>
        </w:rPr>
        <w:t>מוסטון נ' וידרמן</w:t>
      </w:r>
      <w:r w:rsidRPr="001F6E08">
        <w:rPr>
          <w:rFonts w:ascii="David" w:hAnsi="David"/>
          <w:rtl/>
        </w:rPr>
        <w:t xml:space="preserve"> מג(1) 278 אינו מייתר הגשת תובענה לפרשנות צוואה. פסק הדין קובע כי אומד הדעת לפרשנות האמורה, בצוואה ספציפית, יכול להילמד גם במשתמע. דווקא ההפניה לת"ע (ת"א) 106160/06  </w:t>
      </w:r>
      <w:r w:rsidRPr="001F6E08">
        <w:rPr>
          <w:rFonts w:ascii="David" w:hAnsi="David"/>
          <w:b/>
          <w:bCs/>
          <w:rtl/>
        </w:rPr>
        <w:t>עיזבון המנוחה ש'ח' נ' ל'מ'</w:t>
      </w:r>
      <w:r w:rsidRPr="001F6E08">
        <w:rPr>
          <w:rFonts w:ascii="David" w:hAnsi="David"/>
          <w:rtl/>
        </w:rPr>
        <w:t xml:space="preserve"> ;  10.6.09 מלמדת כי הפרשנות לה מכוון המערער אינה אוטומטית. כן לא מצאתי כל בסיס משפטי, או הגיוני, לפרש את הוראת החוק הקיים בהתאם לדברי ההסבר להצעת החוק לתיקון 12 לחוק הירושה שנגעו לנוסח אחר שלא היה זה שהתקבל בפועל. יש להתחקות אחר אומד הדעת של המצווה כפי שנעשה בפועל באותו מקרה. בענייננו, רצון האב היה שהאם תזכה ראשונה ולאחריה הילדים בחלקים שקבע. האם לא רצתה לזכות. הסתלקה הסתלקות כללית כפי </w:t>
      </w:r>
      <w:r w:rsidRPr="001F6E08">
        <w:rPr>
          <w:rFonts w:ascii="David" w:hAnsi="David"/>
          <w:rtl/>
        </w:rPr>
        <w:lastRenderedPageBreak/>
        <w:t>שהדין מתיר לה. כיצד נדע מה היה רצון האב משלא השאיר הוראת יורש במקום יורש ללא הליך בו נתחקה אחר אומד דעתו?</w:t>
      </w:r>
    </w:p>
    <w:p w:rsidR="008A66E0" w:rsidRPr="001F6E08" w:rsidRDefault="008A66E0" w:rsidP="001F6E08">
      <w:pPr>
        <w:spacing w:after="240" w:line="360" w:lineRule="auto"/>
        <w:ind w:left="368"/>
        <w:jc w:val="both"/>
        <w:rPr>
          <w:rFonts w:ascii="David" w:hAnsi="David"/>
          <w:rtl/>
        </w:rPr>
      </w:pPr>
      <w:r w:rsidRPr="001F6E08">
        <w:rPr>
          <w:rFonts w:ascii="David" w:hAnsi="David"/>
          <w:rtl/>
        </w:rPr>
        <w:t xml:space="preserve"> הוראת ס' 42 (ב) לחוק הירושה אוסרת על הזוכה הראשון לעשות צוואה שתמנע מהזוכה השני לזכות. אין בהוראה זו כדי למנוע מהזוכה הראשון להסתלק מחלקו בעיזבון. או אז הוא לא יירש כלל וזה כבר עניינו של המצווה אם בחר שלא לעשות הוראת יורש </w:t>
      </w:r>
      <w:r w:rsidRPr="001F6E08">
        <w:rPr>
          <w:rFonts w:ascii="David" w:hAnsi="David"/>
          <w:u w:val="single"/>
          <w:rtl/>
        </w:rPr>
        <w:t>במקום</w:t>
      </w:r>
      <w:r w:rsidRPr="001F6E08">
        <w:rPr>
          <w:rFonts w:ascii="David" w:hAnsi="David"/>
          <w:rtl/>
        </w:rPr>
        <w:t xml:space="preserve"> יורש.</w:t>
      </w:r>
    </w:p>
    <w:p w:rsidR="008A66E0" w:rsidRPr="001F6E08" w:rsidRDefault="008A66E0" w:rsidP="001F6E08">
      <w:pPr>
        <w:spacing w:after="240" w:line="360" w:lineRule="auto"/>
        <w:ind w:left="368"/>
        <w:jc w:val="both"/>
        <w:rPr>
          <w:rFonts w:ascii="David" w:hAnsi="David"/>
          <w:rtl/>
        </w:rPr>
      </w:pPr>
      <w:r w:rsidRPr="001F6E08">
        <w:rPr>
          <w:rFonts w:ascii="David" w:hAnsi="David"/>
          <w:rtl/>
        </w:rPr>
        <w:t>זאת ועוד, ס' 42(ב) לחוק הירושה קובע כי "</w:t>
      </w:r>
      <w:r w:rsidRPr="001F6E08">
        <w:rPr>
          <w:rFonts w:ascii="David" w:hAnsi="David"/>
          <w:b/>
          <w:bCs/>
          <w:rtl/>
        </w:rPr>
        <w:t>הראשון רשאי לעשות במה שקיבל כבתוך שלו....</w:t>
      </w:r>
      <w:r w:rsidRPr="001F6E08">
        <w:rPr>
          <w:rFonts w:ascii="David" w:hAnsi="David"/>
          <w:rtl/>
        </w:rPr>
        <w:t>". משהמחוקק התיר ליורש הראשון בצוואת יורש אחר יורש לעשות ברכוש שקיבל כראות עיניו – גם להעביר את כולו לצד ג' שיחפוץ – כל מי שעורך צוואת יורש אחר יורש כמו במקרה דנן, צריך לקחת בחשבון שייתכן שלא יוותר דבר ליורש השני אם היורש הראשון יכלה את העיזבון או יגרום להיעלמותו מכל סיבה. לכן, כשם שהאם יכולה הייתה להעניק במתנה את כל העיזבון שירשה מבעלה לשלשת ילדיה בחלקים שווים, היא יכולה גם להסתלק מהעיזבון והתוצאה תהיה אותה תוצאה. כשם שהענקת כל העיזבון במתנה על ידי היורש הראשון היא חוקית ופעולה זו לא נחשבת כסיכול רצון המוריש, הוא הדין בהסתלקות שמביאה לאותה תוצאה.</w:t>
      </w:r>
    </w:p>
    <w:p w:rsidR="008A66E0" w:rsidRPr="001F6E08" w:rsidRDefault="008A66E0" w:rsidP="001F6E08">
      <w:pPr>
        <w:spacing w:after="240" w:line="360" w:lineRule="auto"/>
        <w:ind w:left="368"/>
        <w:jc w:val="both"/>
        <w:rPr>
          <w:rFonts w:ascii="David" w:hAnsi="David"/>
          <w:rtl/>
        </w:rPr>
      </w:pPr>
      <w:r w:rsidRPr="001F6E08">
        <w:rPr>
          <w:rFonts w:ascii="David" w:hAnsi="David"/>
          <w:rtl/>
        </w:rPr>
        <w:t xml:space="preserve">אכן לצוואות הדדיות יש היבטים חוזיים עליהם חולש עיקרון תום הלב. לכן, ובשל כך, יש הסדר ספציפי שמקנה למצווה 'ההדדי' את החופש לשנות את צוואתו בתנאים מסוימים (בהם עמדה האם במקרה שלפנינו) כמו גם החופש לכלול בצוואתו גם הוראת יורש במקום יורש ולא רק הוראת יורש אחר יורש. </w:t>
      </w:r>
    </w:p>
    <w:p w:rsidR="008A66E0" w:rsidRPr="001F6E08" w:rsidRDefault="008A66E0" w:rsidP="001F6E08">
      <w:pPr>
        <w:spacing w:after="240" w:line="360" w:lineRule="auto"/>
        <w:ind w:left="368"/>
        <w:jc w:val="both"/>
        <w:rPr>
          <w:rFonts w:ascii="David" w:hAnsi="David"/>
          <w:rtl/>
        </w:rPr>
      </w:pPr>
      <w:r w:rsidRPr="001F6E08">
        <w:rPr>
          <w:rFonts w:ascii="David" w:hAnsi="David"/>
          <w:rtl/>
        </w:rPr>
        <w:t>אינני מקבל את טענת המערער לפיה אין להחיל את הוראות ס' 6 לחוק הירושה על צוואות הדדיות. ההסדר שנקבע בחוק הירושה בכל הנוגע לצוואות הדדיות מוצא את ביטויו בסעיף 8א לחוק וההתייחסות בסעיף זה לפעולת ההסתלקות לא יכולה להיעשות במנותק מהוראת ס' 6 לחוק שנמצאת באותו פרק ושקובעת מהי נפקותה של ההסתלקות.</w:t>
      </w:r>
    </w:p>
    <w:p w:rsidR="008A66E0" w:rsidRPr="001F6E08" w:rsidRDefault="008A66E0" w:rsidP="001F6E08">
      <w:pPr>
        <w:pStyle w:val="ad"/>
        <w:numPr>
          <w:ilvl w:val="0"/>
          <w:numId w:val="1"/>
        </w:numPr>
        <w:spacing w:after="240" w:line="360" w:lineRule="auto"/>
        <w:ind w:left="368"/>
        <w:contextualSpacing w:val="0"/>
        <w:jc w:val="both"/>
        <w:rPr>
          <w:rFonts w:ascii="David" w:hAnsi="David" w:cs="David"/>
          <w:sz w:val="24"/>
          <w:szCs w:val="24"/>
          <w:rtl/>
        </w:rPr>
      </w:pPr>
      <w:r w:rsidRPr="001F6E08">
        <w:rPr>
          <w:rFonts w:ascii="David" w:hAnsi="David" w:cs="David"/>
          <w:sz w:val="24"/>
          <w:szCs w:val="24"/>
          <w:rtl/>
        </w:rPr>
        <w:t xml:space="preserve">המקרה שנדון לפנינו ממחיש עד כמה יש צורך להבהיר למי שעורך צוואת יורש אחר יורש, כי היורש הראשון עלול להסתלק ובכך למנוע את העברת הרכוש ליורש השני ואם המוריש מעונין למנוע אפשרות זאת, עליו לקבוע גם הוראה של יורש במקום יורש או לקבוע מה ייעשה במקרה של הסתלקות היורש הראשון. ייתכן שראוי שהמחוקק </w:t>
      </w:r>
      <w:r w:rsidR="00153EB5">
        <w:rPr>
          <w:rFonts w:ascii="David" w:hAnsi="David" w:cs="David"/>
          <w:sz w:val="24"/>
          <w:szCs w:val="24"/>
          <w:rtl/>
        </w:rPr>
        <w:t>יאמץ את נוסח הצעת החוק הנ"ל שמס</w:t>
      </w:r>
      <w:r w:rsidR="00153EB5">
        <w:rPr>
          <w:rFonts w:ascii="David" w:hAnsi="David" w:cs="David" w:hint="cs"/>
          <w:sz w:val="24"/>
          <w:szCs w:val="24"/>
          <w:rtl/>
        </w:rPr>
        <w:t>ד</w:t>
      </w:r>
      <w:r w:rsidRPr="001F6E08">
        <w:rPr>
          <w:rFonts w:ascii="David" w:hAnsi="David" w:cs="David"/>
          <w:sz w:val="24"/>
          <w:szCs w:val="24"/>
          <w:rtl/>
        </w:rPr>
        <w:t>ירה באופן ברור את מעמדו של היורש השני למרות הסתלקות של היורש הראשון.</w:t>
      </w:r>
    </w:p>
    <w:p w:rsidR="008A66E0" w:rsidRPr="001F6E08" w:rsidRDefault="008A66E0" w:rsidP="001F6E08">
      <w:pPr>
        <w:pStyle w:val="ad"/>
        <w:numPr>
          <w:ilvl w:val="0"/>
          <w:numId w:val="1"/>
        </w:numPr>
        <w:spacing w:after="240" w:line="360" w:lineRule="auto"/>
        <w:ind w:left="369"/>
        <w:contextualSpacing w:val="0"/>
        <w:jc w:val="both"/>
        <w:rPr>
          <w:rFonts w:ascii="David" w:hAnsi="David" w:cs="David"/>
          <w:sz w:val="24"/>
          <w:szCs w:val="24"/>
          <w:rtl/>
        </w:rPr>
      </w:pPr>
      <w:r w:rsidRPr="001F6E08">
        <w:rPr>
          <w:rFonts w:ascii="David" w:hAnsi="David" w:cs="David"/>
          <w:sz w:val="24"/>
          <w:szCs w:val="24"/>
          <w:rtl/>
        </w:rPr>
        <w:t>על רקע כל האמור לעיל אין מנוס מדחיית הערעור.</w:t>
      </w:r>
    </w:p>
    <w:p w:rsidR="008A66E0" w:rsidRPr="001F6E08" w:rsidRDefault="008A66E0" w:rsidP="001F6E08">
      <w:pPr>
        <w:pStyle w:val="ad"/>
        <w:spacing w:after="240" w:line="360" w:lineRule="auto"/>
        <w:ind w:left="369"/>
        <w:contextualSpacing w:val="0"/>
        <w:jc w:val="both"/>
        <w:rPr>
          <w:rFonts w:ascii="David" w:hAnsi="David" w:cs="David"/>
          <w:sz w:val="24"/>
          <w:szCs w:val="24"/>
        </w:rPr>
      </w:pPr>
      <w:r w:rsidRPr="001F6E08">
        <w:rPr>
          <w:rFonts w:ascii="David" w:hAnsi="David" w:cs="David"/>
          <w:sz w:val="24"/>
          <w:szCs w:val="24"/>
          <w:rtl/>
        </w:rPr>
        <w:t>אציע לחבריי שלא לעשות צו להוצאות.</w:t>
      </w:r>
    </w:p>
    <w:p w:rsidR="008A66E0" w:rsidRPr="001F6E08" w:rsidRDefault="008A66E0" w:rsidP="001F6E08">
      <w:pPr>
        <w:pStyle w:val="ad"/>
        <w:spacing w:after="240" w:line="360" w:lineRule="auto"/>
        <w:ind w:left="369"/>
        <w:contextualSpacing w:val="0"/>
        <w:jc w:val="both"/>
        <w:rPr>
          <w:rFonts w:ascii="David" w:hAnsi="David" w:cs="David"/>
          <w:sz w:val="24"/>
          <w:szCs w:val="24"/>
          <w:rtl/>
        </w:rPr>
      </w:pPr>
      <w:r w:rsidRPr="001F6E08">
        <w:rPr>
          <w:rFonts w:ascii="David" w:hAnsi="David" w:cs="David"/>
          <w:sz w:val="24"/>
          <w:szCs w:val="24"/>
          <w:rtl/>
        </w:rPr>
        <w:t>העירבון על פירותיו יושב למערער באמצעות בא כוחו.</w:t>
      </w:r>
    </w:p>
    <w:p w:rsidR="008A66E0" w:rsidRDefault="008A66E0" w:rsidP="008A66E0">
      <w:pPr>
        <w:rPr>
          <w:rFonts w:ascii="Century" w:hAnsi="Century" w:cs="FrankRuehl"/>
          <w:sz w:val="20"/>
          <w:szCs w:val="28"/>
          <w:rtl/>
        </w:rPr>
      </w:pPr>
    </w:p>
    <w:tbl>
      <w:tblPr>
        <w:bidiVisual/>
        <w:tblW w:w="0" w:type="auto"/>
        <w:tblInd w:w="4932" w:type="dxa"/>
        <w:tblCellMar>
          <w:left w:w="0" w:type="dxa"/>
          <w:right w:w="0" w:type="dxa"/>
        </w:tblCellMar>
        <w:tblLook w:val="04A0" w:firstRow="1" w:lastRow="0" w:firstColumn="1" w:lastColumn="0" w:noHBand="0" w:noVBand="1"/>
      </w:tblPr>
      <w:tblGrid>
        <w:gridCol w:w="2916"/>
      </w:tblGrid>
      <w:tr w:rsidR="008A66E0" w:rsidTr="008A66E0">
        <w:tc>
          <w:tcPr>
            <w:tcW w:w="2916" w:type="dxa"/>
            <w:tcBorders>
              <w:top w:val="nil"/>
              <w:left w:val="nil"/>
              <w:bottom w:val="single" w:sz="8" w:space="0" w:color="auto"/>
              <w:right w:val="nil"/>
            </w:tcBorders>
            <w:tcMar>
              <w:top w:w="0" w:type="dxa"/>
              <w:left w:w="108" w:type="dxa"/>
              <w:bottom w:w="0" w:type="dxa"/>
              <w:right w:w="108" w:type="dxa"/>
            </w:tcMar>
            <w:vAlign w:val="center"/>
            <w:hideMark/>
          </w:tcPr>
          <w:p w:rsidR="008A66E0" w:rsidRDefault="008A66E0">
            <w:pPr>
              <w:ind w:left="360"/>
              <w:jc w:val="center"/>
              <w:rPr>
                <w:rFonts w:ascii="David" w:hAnsi="David"/>
                <w:b/>
                <w:bCs/>
                <w:rtl/>
              </w:rPr>
            </w:pPr>
            <w:r>
              <w:rPr>
                <w:rFonts w:ascii="David" w:hAnsi="David"/>
              </w:rPr>
              <w:drawing>
                <wp:inline distT="0" distB="0" distL="0" distR="0">
                  <wp:extent cx="1484630" cy="748030"/>
                  <wp:effectExtent l="0" t="0" r="1270" b="0"/>
                  <wp:docPr id="6" name="תמונה 6" descr="cid:image002.gif@01D5D9AF.3D52D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gif@01D5D9AF.3D52D30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484630" cy="748030"/>
                          </a:xfrm>
                          <a:prstGeom prst="rect">
                            <a:avLst/>
                          </a:prstGeom>
                          <a:noFill/>
                          <a:ln>
                            <a:noFill/>
                          </a:ln>
                        </pic:spPr>
                      </pic:pic>
                    </a:graphicData>
                  </a:graphic>
                </wp:inline>
              </w:drawing>
            </w:r>
          </w:p>
        </w:tc>
      </w:tr>
      <w:tr w:rsidR="008A66E0" w:rsidTr="008A66E0">
        <w:tc>
          <w:tcPr>
            <w:tcW w:w="2916" w:type="dxa"/>
            <w:tcMar>
              <w:top w:w="0" w:type="dxa"/>
              <w:left w:w="108" w:type="dxa"/>
              <w:bottom w:w="0" w:type="dxa"/>
              <w:right w:w="108" w:type="dxa"/>
            </w:tcMar>
            <w:hideMark/>
          </w:tcPr>
          <w:p w:rsidR="008A66E0" w:rsidRDefault="008A66E0">
            <w:pPr>
              <w:ind w:left="360"/>
              <w:jc w:val="center"/>
              <w:rPr>
                <w:rFonts w:ascii="David" w:hAnsi="David"/>
                <w:b/>
                <w:bCs/>
                <w:sz w:val="26"/>
                <w:szCs w:val="26"/>
              </w:rPr>
            </w:pPr>
            <w:r>
              <w:rPr>
                <w:rFonts w:ascii="David" w:hAnsi="David"/>
                <w:b/>
                <w:bCs/>
                <w:sz w:val="26"/>
                <w:szCs w:val="26"/>
                <w:rtl/>
              </w:rPr>
              <w:t>שאול שוחט, שופט</w:t>
            </w:r>
          </w:p>
          <w:p w:rsidR="008A66E0" w:rsidRDefault="008A66E0">
            <w:pPr>
              <w:ind w:left="360"/>
              <w:jc w:val="center"/>
              <w:rPr>
                <w:rFonts w:ascii="David" w:hAnsi="David"/>
                <w:b/>
                <w:bCs/>
                <w:sz w:val="20"/>
                <w:szCs w:val="28"/>
              </w:rPr>
            </w:pPr>
            <w:r>
              <w:rPr>
                <w:rFonts w:ascii="David" w:hAnsi="David"/>
                <w:b/>
                <w:bCs/>
                <w:sz w:val="26"/>
                <w:szCs w:val="26"/>
                <w:rtl/>
              </w:rPr>
              <w:t>סג"נ-אב"ד</w:t>
            </w:r>
            <w:r>
              <w:rPr>
                <w:rFonts w:ascii="David" w:hAnsi="David"/>
                <w:b/>
                <w:bCs/>
                <w:rtl/>
              </w:rPr>
              <w:t xml:space="preserve"> </w:t>
            </w:r>
          </w:p>
        </w:tc>
      </w:tr>
    </w:tbl>
    <w:p w:rsidR="008A66E0" w:rsidRDefault="008A66E0" w:rsidP="008A66E0">
      <w:pPr>
        <w:ind w:left="720"/>
        <w:jc w:val="both"/>
        <w:rPr>
          <w:rFonts w:ascii="David" w:hAnsi="David"/>
          <w:spacing w:val="10"/>
          <w:rtl/>
        </w:rPr>
      </w:pPr>
    </w:p>
    <w:p w:rsidR="008A66E0" w:rsidRDefault="008A66E0" w:rsidP="001F6E08">
      <w:pPr>
        <w:spacing w:line="360" w:lineRule="auto"/>
        <w:jc w:val="both"/>
        <w:rPr>
          <w:rFonts w:ascii="David" w:hAnsi="David"/>
          <w:b/>
          <w:bCs/>
          <w:u w:val="single"/>
          <w:rtl/>
        </w:rPr>
      </w:pPr>
      <w:r>
        <w:rPr>
          <w:rFonts w:ascii="David" w:hAnsi="David"/>
          <w:b/>
          <w:bCs/>
          <w:u w:val="single"/>
          <w:rtl/>
        </w:rPr>
        <w:t>כבוד השופט נפתלי שילה</w:t>
      </w:r>
    </w:p>
    <w:p w:rsidR="008A66E0" w:rsidRDefault="008A66E0" w:rsidP="001F6E08">
      <w:pPr>
        <w:spacing w:line="360" w:lineRule="auto"/>
        <w:jc w:val="both"/>
        <w:rPr>
          <w:rFonts w:ascii="David" w:hAnsi="David"/>
          <w:rtl/>
        </w:rPr>
      </w:pPr>
      <w:r>
        <w:rPr>
          <w:rFonts w:ascii="David" w:hAnsi="David"/>
          <w:rtl/>
        </w:rPr>
        <w:t xml:space="preserve">אני מסכים. </w:t>
      </w:r>
    </w:p>
    <w:tbl>
      <w:tblPr>
        <w:bidiVisual/>
        <w:tblW w:w="0" w:type="auto"/>
        <w:tblInd w:w="4932" w:type="dxa"/>
        <w:tblCellMar>
          <w:left w:w="0" w:type="dxa"/>
          <w:right w:w="0" w:type="dxa"/>
        </w:tblCellMar>
        <w:tblLook w:val="04A0" w:firstRow="1" w:lastRow="0" w:firstColumn="1" w:lastColumn="0" w:noHBand="0" w:noVBand="1"/>
      </w:tblPr>
      <w:tblGrid>
        <w:gridCol w:w="2872"/>
      </w:tblGrid>
      <w:tr w:rsidR="008A66E0" w:rsidTr="008A66E0">
        <w:tc>
          <w:tcPr>
            <w:tcW w:w="2872" w:type="dxa"/>
            <w:tcBorders>
              <w:top w:val="nil"/>
              <w:left w:val="nil"/>
              <w:bottom w:val="single" w:sz="8" w:space="0" w:color="auto"/>
              <w:right w:val="nil"/>
            </w:tcBorders>
            <w:tcMar>
              <w:top w:w="0" w:type="dxa"/>
              <w:left w:w="108" w:type="dxa"/>
              <w:bottom w:w="0" w:type="dxa"/>
              <w:right w:w="108" w:type="dxa"/>
            </w:tcMar>
            <w:hideMark/>
          </w:tcPr>
          <w:p w:rsidR="008A66E0" w:rsidRDefault="008A66E0">
            <w:pPr>
              <w:jc w:val="both"/>
              <w:rPr>
                <w:rFonts w:ascii="David" w:hAnsi="David"/>
                <w:rtl/>
              </w:rPr>
            </w:pPr>
            <w:r>
              <w:rPr>
                <w:rFonts w:ascii="David" w:hAnsi="David"/>
              </w:rPr>
              <w:drawing>
                <wp:inline distT="0" distB="0" distL="0" distR="0">
                  <wp:extent cx="1330325" cy="534670"/>
                  <wp:effectExtent l="0" t="0" r="3175" b="0"/>
                  <wp:docPr id="5" name="תמונה 5" descr="cid:image003.png@01D5D9AF.3D52D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5D9AF.3D52D30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330325" cy="534670"/>
                          </a:xfrm>
                          <a:prstGeom prst="rect">
                            <a:avLst/>
                          </a:prstGeom>
                          <a:noFill/>
                          <a:ln>
                            <a:noFill/>
                          </a:ln>
                        </pic:spPr>
                      </pic:pic>
                    </a:graphicData>
                  </a:graphic>
                </wp:inline>
              </w:drawing>
            </w:r>
          </w:p>
        </w:tc>
      </w:tr>
      <w:tr w:rsidR="008A66E0" w:rsidTr="008A66E0">
        <w:tc>
          <w:tcPr>
            <w:tcW w:w="2872" w:type="dxa"/>
            <w:tcMar>
              <w:top w:w="0" w:type="dxa"/>
              <w:left w:w="108" w:type="dxa"/>
              <w:bottom w:w="0" w:type="dxa"/>
              <w:right w:w="108" w:type="dxa"/>
            </w:tcMar>
            <w:hideMark/>
          </w:tcPr>
          <w:p w:rsidR="008A66E0" w:rsidRDefault="008A66E0">
            <w:pPr>
              <w:jc w:val="both"/>
              <w:rPr>
                <w:rFonts w:ascii="David" w:hAnsi="David"/>
                <w:b/>
                <w:bCs/>
                <w:rtl/>
              </w:rPr>
            </w:pPr>
            <w:r>
              <w:rPr>
                <w:rFonts w:ascii="David" w:hAnsi="David"/>
                <w:b/>
                <w:bCs/>
                <w:rtl/>
              </w:rPr>
              <w:t>נפתלי שילה, שופט</w:t>
            </w:r>
          </w:p>
        </w:tc>
      </w:tr>
    </w:tbl>
    <w:p w:rsidR="008A66E0" w:rsidRDefault="008A66E0" w:rsidP="008A66E0">
      <w:pPr>
        <w:jc w:val="both"/>
        <w:rPr>
          <w:rFonts w:ascii="David" w:hAnsi="David"/>
          <w:spacing w:val="10"/>
        </w:rPr>
      </w:pPr>
    </w:p>
    <w:p w:rsidR="008A66E0" w:rsidRDefault="008A66E0" w:rsidP="001F6E08">
      <w:pPr>
        <w:spacing w:line="360" w:lineRule="auto"/>
        <w:jc w:val="both"/>
        <w:rPr>
          <w:rFonts w:ascii="David" w:hAnsi="David"/>
          <w:b/>
          <w:bCs/>
          <w:u w:val="single"/>
          <w:rtl/>
        </w:rPr>
      </w:pPr>
      <w:r>
        <w:rPr>
          <w:rFonts w:ascii="David" w:hAnsi="David"/>
          <w:b/>
          <w:bCs/>
          <w:u w:val="single"/>
          <w:rtl/>
        </w:rPr>
        <w:t>כבוד השופטת סיגל רסלר-זכאי</w:t>
      </w:r>
    </w:p>
    <w:p w:rsidR="008A66E0" w:rsidRDefault="008A66E0" w:rsidP="001F6E08">
      <w:pPr>
        <w:spacing w:line="360" w:lineRule="auto"/>
        <w:jc w:val="both"/>
        <w:rPr>
          <w:rFonts w:ascii="David" w:hAnsi="David"/>
          <w:rtl/>
        </w:rPr>
      </w:pPr>
      <w:r>
        <w:rPr>
          <w:rFonts w:ascii="Century" w:hAnsi="Century" w:cs="FrankRuehl"/>
          <w:sz w:val="20"/>
          <w:szCs w:val="28"/>
          <w:rtl/>
        </w:rPr>
        <w:drawing>
          <wp:anchor distT="0" distB="0" distL="114300" distR="114300" simplePos="0" relativeHeight="251658240" behindDoc="0" locked="0" layoutInCell="1" allowOverlap="1">
            <wp:simplePos x="0" y="0"/>
            <wp:positionH relativeFrom="column">
              <wp:posOffset>493395</wp:posOffset>
            </wp:positionH>
            <wp:positionV relativeFrom="paragraph">
              <wp:posOffset>59302</wp:posOffset>
            </wp:positionV>
            <wp:extent cx="1477645" cy="744220"/>
            <wp:effectExtent l="0" t="0" r="8255" b="0"/>
            <wp:wrapSquare wrapText="bothSides"/>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77645" cy="744220"/>
                    </a:xfrm>
                    <a:prstGeom prst="rect">
                      <a:avLst/>
                    </a:prstGeom>
                    <a:noFill/>
                  </pic:spPr>
                </pic:pic>
              </a:graphicData>
            </a:graphic>
            <wp14:sizeRelH relativeFrom="page">
              <wp14:pctWidth>0</wp14:pctWidth>
            </wp14:sizeRelH>
            <wp14:sizeRelV relativeFrom="page">
              <wp14:pctHeight>0</wp14:pctHeight>
            </wp14:sizeRelV>
          </wp:anchor>
        </w:drawing>
      </w:r>
      <w:r>
        <w:rPr>
          <w:rFonts w:ascii="David" w:hAnsi="David"/>
          <w:rtl/>
        </w:rPr>
        <w:t>אני מסכימה.</w:t>
      </w:r>
    </w:p>
    <w:p w:rsidR="008A66E0" w:rsidRDefault="008A66E0" w:rsidP="008A66E0">
      <w:pPr>
        <w:spacing w:after="240"/>
        <w:jc w:val="right"/>
        <w:rPr>
          <w:rFonts w:ascii="David" w:hAnsi="David"/>
          <w:rtl/>
        </w:rPr>
      </w:pPr>
    </w:p>
    <w:tbl>
      <w:tblPr>
        <w:bidiVisual/>
        <w:tblW w:w="0" w:type="auto"/>
        <w:tblInd w:w="4932" w:type="dxa"/>
        <w:tblCellMar>
          <w:left w:w="0" w:type="dxa"/>
          <w:right w:w="0" w:type="dxa"/>
        </w:tblCellMar>
        <w:tblLook w:val="04A0" w:firstRow="1" w:lastRow="0" w:firstColumn="1" w:lastColumn="0" w:noHBand="0" w:noVBand="1"/>
      </w:tblPr>
      <w:tblGrid>
        <w:gridCol w:w="2872"/>
      </w:tblGrid>
      <w:tr w:rsidR="008A66E0" w:rsidTr="008A66E0">
        <w:trPr>
          <w:trHeight w:val="95"/>
        </w:trPr>
        <w:tc>
          <w:tcPr>
            <w:tcW w:w="2872" w:type="dxa"/>
            <w:tcBorders>
              <w:top w:val="nil"/>
              <w:left w:val="nil"/>
              <w:bottom w:val="single" w:sz="8" w:space="0" w:color="auto"/>
              <w:right w:val="nil"/>
            </w:tcBorders>
            <w:tcMar>
              <w:top w:w="0" w:type="dxa"/>
              <w:left w:w="108" w:type="dxa"/>
              <w:bottom w:w="0" w:type="dxa"/>
              <w:right w:w="108" w:type="dxa"/>
            </w:tcMar>
            <w:hideMark/>
          </w:tcPr>
          <w:p w:rsidR="008A66E0" w:rsidRDefault="008A66E0">
            <w:pPr>
              <w:rPr>
                <w:rFonts w:ascii="David" w:hAnsi="David"/>
                <w:rtl/>
              </w:rPr>
            </w:pPr>
          </w:p>
        </w:tc>
      </w:tr>
      <w:tr w:rsidR="008A66E0" w:rsidTr="008A66E0">
        <w:tc>
          <w:tcPr>
            <w:tcW w:w="2872" w:type="dxa"/>
            <w:tcMar>
              <w:top w:w="0" w:type="dxa"/>
              <w:left w:w="108" w:type="dxa"/>
              <w:bottom w:w="0" w:type="dxa"/>
              <w:right w:w="108" w:type="dxa"/>
            </w:tcMar>
            <w:hideMark/>
          </w:tcPr>
          <w:p w:rsidR="008A66E0" w:rsidRDefault="008A66E0">
            <w:pPr>
              <w:jc w:val="both"/>
              <w:rPr>
                <w:rFonts w:ascii="David" w:hAnsi="David"/>
                <w:b/>
                <w:bCs/>
                <w:spacing w:val="10"/>
              </w:rPr>
            </w:pPr>
            <w:r>
              <w:rPr>
                <w:rFonts w:ascii="David" w:hAnsi="David"/>
                <w:b/>
                <w:bCs/>
                <w:rtl/>
              </w:rPr>
              <w:t>סיגל רסלר-זכאי, שופטת</w:t>
            </w:r>
          </w:p>
        </w:tc>
      </w:tr>
    </w:tbl>
    <w:p w:rsidR="008A66E0" w:rsidRDefault="008A66E0" w:rsidP="008A66E0">
      <w:pPr>
        <w:spacing w:after="240"/>
        <w:jc w:val="both"/>
        <w:rPr>
          <w:rFonts w:ascii="David" w:hAnsi="David"/>
          <w:spacing w:val="10"/>
        </w:rPr>
      </w:pPr>
    </w:p>
    <w:p w:rsidR="008A66E0" w:rsidRDefault="008A66E0" w:rsidP="001F6E08">
      <w:pPr>
        <w:spacing w:after="240" w:line="360" w:lineRule="auto"/>
        <w:jc w:val="both"/>
        <w:rPr>
          <w:rFonts w:ascii="David" w:hAnsi="David"/>
          <w:rtl/>
        </w:rPr>
      </w:pPr>
      <w:r>
        <w:rPr>
          <w:rFonts w:ascii="David" w:hAnsi="David"/>
          <w:rtl/>
        </w:rPr>
        <w:t xml:space="preserve">הוחלט בהתאם לפסק דינו של סגן הנשיא אב"ד </w:t>
      </w:r>
      <w:r w:rsidR="00553AE9">
        <w:rPr>
          <w:rFonts w:ascii="David" w:hAnsi="David" w:hint="cs"/>
          <w:rtl/>
        </w:rPr>
        <w:t xml:space="preserve">כב' </w:t>
      </w:r>
      <w:r>
        <w:rPr>
          <w:rFonts w:ascii="David" w:hAnsi="David"/>
          <w:rtl/>
        </w:rPr>
        <w:t xml:space="preserve">השופט שוחט. </w:t>
      </w:r>
    </w:p>
    <w:p w:rsidR="008A66E0" w:rsidRDefault="008A66E0" w:rsidP="001F6E08">
      <w:pPr>
        <w:spacing w:after="240" w:line="360" w:lineRule="auto"/>
        <w:jc w:val="both"/>
        <w:rPr>
          <w:rFonts w:ascii="David" w:hAnsi="David"/>
          <w:rtl/>
        </w:rPr>
      </w:pPr>
      <w:r>
        <w:rPr>
          <w:rFonts w:ascii="David" w:hAnsi="David"/>
          <w:rtl/>
        </w:rPr>
        <w:t>המזכירות תמציא העתק מפסק הדין לב"כ הצדדים.</w:t>
      </w:r>
    </w:p>
    <w:p w:rsidR="008A66E0" w:rsidRDefault="00553AE9" w:rsidP="001F6E08">
      <w:pPr>
        <w:spacing w:after="240" w:line="360" w:lineRule="auto"/>
        <w:jc w:val="both"/>
        <w:rPr>
          <w:rFonts w:ascii="David" w:hAnsi="David"/>
          <w:rtl/>
        </w:rPr>
      </w:pPr>
      <w:r w:rsidRPr="00553AE9">
        <w:rPr>
          <w:rFonts w:ascii="David" w:hAnsi="David"/>
          <w:rtl/>
        </w:rPr>
        <w:t>פסק הדין ניתן לפרסום במתכונת בה נחתם ללא ציון שמות הצדדים ו/או כ</w:t>
      </w:r>
      <w:r>
        <w:rPr>
          <w:rFonts w:ascii="David" w:hAnsi="David"/>
          <w:rtl/>
        </w:rPr>
        <w:t>ל פרט שיש בו כדי להביא לזיהויים</w:t>
      </w:r>
      <w:r w:rsidR="008A66E0">
        <w:rPr>
          <w:rFonts w:ascii="David" w:hAnsi="David"/>
          <w:rtl/>
        </w:rPr>
        <w:t>.</w:t>
      </w:r>
    </w:p>
    <w:p w:rsidR="001F6E08" w:rsidRDefault="001F6E08" w:rsidP="001F6E08">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235735686"/>
          <w:text w:multiLine="1"/>
        </w:sdtPr>
        <w:sdtEndPr/>
        <w:sdtContent>
          <w:r>
            <w:rPr>
              <w:rFonts w:ascii="Arial" w:hAnsi="Arial"/>
              <w:noProof w:val="0"/>
              <w:rtl/>
            </w:rPr>
            <w:t>כ"ג כסלו תשפ"ד</w:t>
          </w:r>
        </w:sdtContent>
      </w:sdt>
      <w:r>
        <w:rPr>
          <w:rFonts w:ascii="Arial" w:hAnsi="Arial"/>
          <w:noProof w:val="0"/>
          <w:rtl/>
        </w:rPr>
        <w:t xml:space="preserve">, </w:t>
      </w:r>
      <w:sdt>
        <w:sdtPr>
          <w:rPr>
            <w:rtl/>
          </w:rPr>
          <w:alias w:val="1456"/>
          <w:tag w:val="1456"/>
          <w:id w:val="2052102366"/>
          <w:text w:multiLine="1"/>
        </w:sdtPr>
        <w:sdtEndPr/>
        <w:sdtContent>
          <w:r>
            <w:rPr>
              <w:rFonts w:ascii="Arial" w:hAnsi="Arial"/>
              <w:noProof w:val="0"/>
              <w:rtl/>
            </w:rPr>
            <w:t>06 דצמבר 2023</w:t>
          </w:r>
        </w:sdtContent>
      </w:sdt>
      <w:r>
        <w:rPr>
          <w:rFonts w:ascii="Arial" w:hAnsi="Arial"/>
          <w:noProof w:val="0"/>
          <w:rtl/>
        </w:rPr>
        <w:t>, בהעדר הצדדים.</w:t>
      </w:r>
    </w:p>
    <w:p w:rsidR="001F6E08" w:rsidRPr="001F6E08" w:rsidRDefault="001F6E08" w:rsidP="001F6E08">
      <w:pPr>
        <w:spacing w:line="360" w:lineRule="auto"/>
        <w:jc w:val="both"/>
        <w:rPr>
          <w:rFonts w:ascii="Arial" w:hAnsi="Arial"/>
          <w:noProof w:val="0"/>
          <w:rtl/>
        </w:rPr>
      </w:pPr>
    </w:p>
    <w:tbl>
      <w:tblPr>
        <w:tblStyle w:val="a9"/>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8A66E0" w:rsidTr="008A66E0">
        <w:tc>
          <w:tcPr>
            <w:tcW w:w="2891" w:type="dxa"/>
            <w:vAlign w:val="center"/>
            <w:hideMark/>
          </w:tcPr>
          <w:sdt>
            <w:sdtPr>
              <w:rPr>
                <w:rFonts w:cs="Times New Roman"/>
                <w:rtl/>
              </w:rPr>
              <w:alias w:val="MergeField"/>
              <w:tag w:val="2250"/>
              <w:id w:val="-209423461"/>
            </w:sdtPr>
            <w:sdtEndPr/>
            <w:sdtContent>
              <w:p w:rsidR="008A66E0" w:rsidRDefault="008A66E0">
                <w:pPr>
                  <w:jc w:val="right"/>
                  <w:rPr>
                    <w:rFonts w:cs="Times New Roman"/>
                    <w:sz w:val="20"/>
                    <w:rtl/>
                  </w:rPr>
                </w:pPr>
                <w:r>
                  <w:drawing>
                    <wp:inline distT="0" distB="0" distL="0" distR="0">
                      <wp:extent cx="1365885" cy="676910"/>
                      <wp:effectExtent l="0" t="0" r="5715" b="889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65885" cy="676910"/>
                              </a:xfrm>
                              <a:prstGeom prst="rect">
                                <a:avLst/>
                              </a:prstGeom>
                              <a:noFill/>
                              <a:ln>
                                <a:noFill/>
                              </a:ln>
                            </pic:spPr>
                          </pic:pic>
                        </a:graphicData>
                      </a:graphic>
                    </wp:inline>
                  </w:drawing>
                </w:r>
              </w:p>
            </w:sdtContent>
          </w:sdt>
        </w:tc>
        <w:tc>
          <w:tcPr>
            <w:tcW w:w="2891" w:type="dxa"/>
            <w:vAlign w:val="center"/>
            <w:hideMark/>
          </w:tcPr>
          <w:sdt>
            <w:sdtPr>
              <w:rPr>
                <w:rFonts w:cs="Times New Roman" w:hint="cs"/>
                <w:rtl/>
              </w:rPr>
              <w:alias w:val="MergeField"/>
              <w:tag w:val="2251"/>
              <w:id w:val="1684470304"/>
            </w:sdtPr>
            <w:sdtEndPr/>
            <w:sdtContent>
              <w:p w:rsidR="008A66E0" w:rsidRDefault="008A66E0">
                <w:pPr>
                  <w:jc w:val="right"/>
                  <w:rPr>
                    <w:rFonts w:ascii="Century" w:hAnsi="Century" w:cs="FrankRuehl"/>
                    <w:spacing w:val="10"/>
                    <w:szCs w:val="28"/>
                  </w:rPr>
                </w:pPr>
                <w:r>
                  <w:drawing>
                    <wp:inline distT="0" distB="0" distL="0" distR="0">
                      <wp:extent cx="1330325" cy="534670"/>
                      <wp:effectExtent l="0" t="0" r="317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0325" cy="534670"/>
                              </a:xfrm>
                              <a:prstGeom prst="rect">
                                <a:avLst/>
                              </a:prstGeom>
                              <a:noFill/>
                              <a:ln>
                                <a:noFill/>
                              </a:ln>
                            </pic:spPr>
                          </pic:pic>
                        </a:graphicData>
                      </a:graphic>
                    </wp:inline>
                  </w:drawing>
                </w:r>
              </w:p>
            </w:sdtContent>
          </w:sdt>
        </w:tc>
        <w:tc>
          <w:tcPr>
            <w:tcW w:w="2891" w:type="dxa"/>
            <w:vAlign w:val="center"/>
            <w:hideMark/>
          </w:tcPr>
          <w:sdt>
            <w:sdtPr>
              <w:rPr>
                <w:rFonts w:cs="Times New Roman" w:hint="cs"/>
                <w:rtl/>
              </w:rPr>
              <w:alias w:val="MergeField"/>
              <w:tag w:val="2252"/>
              <w:id w:val="341209610"/>
            </w:sdtPr>
            <w:sdtEndPr/>
            <w:sdtContent>
              <w:p w:rsidR="008A66E0" w:rsidRDefault="008A66E0">
                <w:pPr>
                  <w:jc w:val="right"/>
                </w:pPr>
                <w:r>
                  <w:drawing>
                    <wp:inline distT="0" distB="0" distL="0" distR="0">
                      <wp:extent cx="1472565" cy="74803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72565" cy="748030"/>
                              </a:xfrm>
                              <a:prstGeom prst="rect">
                                <a:avLst/>
                              </a:prstGeom>
                              <a:noFill/>
                              <a:ln>
                                <a:noFill/>
                              </a:ln>
                            </pic:spPr>
                          </pic:pic>
                        </a:graphicData>
                      </a:graphic>
                    </wp:inline>
                  </w:drawing>
                </w:r>
              </w:p>
            </w:sdtContent>
          </w:sdt>
        </w:tc>
      </w:tr>
      <w:tr w:rsidR="008A66E0" w:rsidTr="008A66E0">
        <w:tc>
          <w:tcPr>
            <w:tcW w:w="2891" w:type="dxa"/>
            <w:vAlign w:val="center"/>
            <w:hideMark/>
          </w:tcPr>
          <w:p w:rsidR="008A66E0" w:rsidRDefault="00912BF6">
            <w:pPr>
              <w:jc w:val="center"/>
              <w:rPr>
                <w:rFonts w:ascii="David" w:hAnsi="David"/>
              </w:rPr>
            </w:pPr>
            <w:sdt>
              <w:sdtPr>
                <w:rPr>
                  <w:rFonts w:ascii="David" w:hAnsi="David"/>
                  <w:rtl/>
                </w:rPr>
                <w:alias w:val="2235"/>
                <w:tag w:val="2235"/>
                <w:id w:val="-1566941533"/>
              </w:sdtPr>
              <w:sdtEndPr/>
              <w:sdtContent>
                <w:r w:rsidR="008A66E0">
                  <w:rPr>
                    <w:rFonts w:ascii="David" w:hAnsi="David"/>
                    <w:rtl/>
                  </w:rPr>
                  <w:t>שאול</w:t>
                </w:r>
              </w:sdtContent>
            </w:sdt>
            <w:r w:rsidR="008A66E0">
              <w:rPr>
                <w:rFonts w:ascii="David" w:hAnsi="David"/>
                <w:rtl/>
              </w:rPr>
              <w:t xml:space="preserve">  </w:t>
            </w:r>
            <w:sdt>
              <w:sdtPr>
                <w:rPr>
                  <w:rFonts w:ascii="David" w:hAnsi="David"/>
                  <w:rtl/>
                </w:rPr>
                <w:alias w:val="2240"/>
                <w:tag w:val="2240"/>
                <w:id w:val="-300548965"/>
              </w:sdtPr>
              <w:sdtEndPr/>
              <w:sdtContent>
                <w:r w:rsidR="008A66E0">
                  <w:rPr>
                    <w:rFonts w:ascii="David" w:hAnsi="David"/>
                    <w:rtl/>
                  </w:rPr>
                  <w:t>שוחט</w:t>
                </w:r>
              </w:sdtContent>
            </w:sdt>
            <w:r w:rsidR="008A66E0">
              <w:rPr>
                <w:rFonts w:ascii="David" w:hAnsi="David"/>
                <w:rtl/>
              </w:rPr>
              <w:t xml:space="preserve">, </w:t>
            </w:r>
            <w:sdt>
              <w:sdtPr>
                <w:rPr>
                  <w:rFonts w:ascii="David" w:hAnsi="David"/>
                  <w:rtl/>
                </w:rPr>
                <w:alias w:val="2245"/>
                <w:tag w:val="2245"/>
                <w:id w:val="730581376"/>
              </w:sdtPr>
              <w:sdtEndPr/>
              <w:sdtContent>
                <w:r w:rsidR="008A66E0">
                  <w:rPr>
                    <w:rFonts w:ascii="David" w:hAnsi="David"/>
                    <w:rtl/>
                  </w:rPr>
                  <w:t>שופט, סגן הנשיא</w:t>
                </w:r>
              </w:sdtContent>
            </w:sdt>
          </w:p>
        </w:tc>
        <w:tc>
          <w:tcPr>
            <w:tcW w:w="2891" w:type="dxa"/>
            <w:vAlign w:val="center"/>
            <w:hideMark/>
          </w:tcPr>
          <w:p w:rsidR="008A66E0" w:rsidRDefault="00912BF6">
            <w:pPr>
              <w:jc w:val="center"/>
              <w:rPr>
                <w:rFonts w:ascii="David" w:hAnsi="David"/>
              </w:rPr>
            </w:pPr>
            <w:sdt>
              <w:sdtPr>
                <w:rPr>
                  <w:rFonts w:ascii="David" w:hAnsi="David"/>
                  <w:rtl/>
                </w:rPr>
                <w:alias w:val="2236"/>
                <w:tag w:val="2236"/>
                <w:id w:val="-1923859488"/>
              </w:sdtPr>
              <w:sdtEndPr/>
              <w:sdtContent>
                <w:r w:rsidR="008A66E0">
                  <w:rPr>
                    <w:rFonts w:ascii="David" w:hAnsi="David"/>
                    <w:rtl/>
                  </w:rPr>
                  <w:t>נפתלי</w:t>
                </w:r>
              </w:sdtContent>
            </w:sdt>
            <w:r w:rsidR="008A66E0">
              <w:rPr>
                <w:rFonts w:ascii="David" w:hAnsi="David"/>
                <w:rtl/>
              </w:rPr>
              <w:t xml:space="preserve"> </w:t>
            </w:r>
            <w:sdt>
              <w:sdtPr>
                <w:rPr>
                  <w:rFonts w:ascii="David" w:hAnsi="David"/>
                  <w:rtl/>
                </w:rPr>
                <w:alias w:val="2241"/>
                <w:tag w:val="2241"/>
                <w:id w:val="1609928242"/>
              </w:sdtPr>
              <w:sdtEndPr/>
              <w:sdtContent>
                <w:r w:rsidR="008A66E0">
                  <w:rPr>
                    <w:rFonts w:ascii="David" w:hAnsi="David"/>
                    <w:rtl/>
                  </w:rPr>
                  <w:t>שילה</w:t>
                </w:r>
              </w:sdtContent>
            </w:sdt>
            <w:r w:rsidR="008A66E0">
              <w:rPr>
                <w:rFonts w:ascii="David" w:hAnsi="David"/>
                <w:rtl/>
              </w:rPr>
              <w:t xml:space="preserve">, </w:t>
            </w:r>
            <w:sdt>
              <w:sdtPr>
                <w:rPr>
                  <w:rFonts w:ascii="David" w:hAnsi="David"/>
                  <w:rtl/>
                </w:rPr>
                <w:alias w:val="2246"/>
                <w:tag w:val="2246"/>
                <w:id w:val="2068216978"/>
              </w:sdtPr>
              <w:sdtEndPr/>
              <w:sdtContent>
                <w:r w:rsidR="008A66E0">
                  <w:rPr>
                    <w:rFonts w:ascii="David" w:hAnsi="David"/>
                    <w:rtl/>
                  </w:rPr>
                  <w:t>שופט</w:t>
                </w:r>
              </w:sdtContent>
            </w:sdt>
          </w:p>
        </w:tc>
        <w:tc>
          <w:tcPr>
            <w:tcW w:w="2891" w:type="dxa"/>
            <w:vAlign w:val="center"/>
            <w:hideMark/>
          </w:tcPr>
          <w:p w:rsidR="008A66E0" w:rsidRDefault="00912BF6">
            <w:pPr>
              <w:jc w:val="center"/>
              <w:rPr>
                <w:rFonts w:ascii="David" w:hAnsi="David"/>
                <w:rtl/>
              </w:rPr>
            </w:pPr>
            <w:sdt>
              <w:sdtPr>
                <w:rPr>
                  <w:rFonts w:ascii="David" w:hAnsi="David"/>
                  <w:rtl/>
                </w:rPr>
                <w:alias w:val="2237"/>
                <w:tag w:val="2237"/>
                <w:id w:val="1211845500"/>
              </w:sdtPr>
              <w:sdtEndPr/>
              <w:sdtContent>
                <w:r w:rsidR="008A66E0">
                  <w:rPr>
                    <w:rFonts w:ascii="David" w:hAnsi="David"/>
                    <w:rtl/>
                  </w:rPr>
                  <w:t>סיגל</w:t>
                </w:r>
              </w:sdtContent>
            </w:sdt>
            <w:r w:rsidR="008A66E0">
              <w:rPr>
                <w:rFonts w:ascii="David" w:hAnsi="David"/>
                <w:rtl/>
              </w:rPr>
              <w:t xml:space="preserve"> </w:t>
            </w:r>
            <w:sdt>
              <w:sdtPr>
                <w:rPr>
                  <w:rFonts w:ascii="David" w:hAnsi="David"/>
                  <w:rtl/>
                </w:rPr>
                <w:alias w:val="2242"/>
                <w:tag w:val="2242"/>
                <w:id w:val="596755246"/>
              </w:sdtPr>
              <w:sdtEndPr/>
              <w:sdtContent>
                <w:r w:rsidR="008A66E0">
                  <w:rPr>
                    <w:rFonts w:ascii="David" w:hAnsi="David"/>
                    <w:rtl/>
                  </w:rPr>
                  <w:t>רסלר-זכאי</w:t>
                </w:r>
              </w:sdtContent>
            </w:sdt>
            <w:r w:rsidR="008A66E0">
              <w:rPr>
                <w:rFonts w:ascii="David" w:hAnsi="David"/>
                <w:rtl/>
              </w:rPr>
              <w:t xml:space="preserve">, </w:t>
            </w:r>
            <w:sdt>
              <w:sdtPr>
                <w:rPr>
                  <w:rFonts w:ascii="David" w:hAnsi="David"/>
                  <w:rtl/>
                </w:rPr>
                <w:alias w:val="2247"/>
                <w:tag w:val="2247"/>
                <w:id w:val="528618368"/>
              </w:sdtPr>
              <w:sdtEndPr/>
              <w:sdtContent>
                <w:r w:rsidR="008A66E0">
                  <w:rPr>
                    <w:rFonts w:ascii="David" w:hAnsi="David"/>
                    <w:rtl/>
                  </w:rPr>
                  <w:t>שופטת</w:t>
                </w:r>
              </w:sdtContent>
            </w:sdt>
          </w:p>
        </w:tc>
      </w:tr>
    </w:tbl>
    <w:p w:rsidR="00694556" w:rsidRDefault="00694556">
      <w:pPr>
        <w:spacing w:line="360" w:lineRule="auto"/>
        <w:jc w:val="both"/>
        <w:rPr>
          <w:rFonts w:ascii="Arial" w:hAnsi="Arial"/>
          <w:noProof w:val="0"/>
          <w:rtl/>
        </w:rPr>
      </w:pPr>
    </w:p>
    <w:sectPr w:rsidR="00694556" w:rsidSect="00903896">
      <w:headerReference w:type="even" r:id="rId15"/>
      <w:headerReference w:type="default" r:id="rId16"/>
      <w:footerReference w:type="even" r:id="rId17"/>
      <w:footerReference w:type="default" r:id="rId18"/>
      <w:headerReference w:type="first" r:id="rId19"/>
      <w:footerReference w:type="first" r:id="rId2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2BF6" w:rsidRDefault="00912BF6">
      <w:r>
        <w:separator/>
      </w:r>
    </w:p>
  </w:endnote>
  <w:endnote w:type="continuationSeparator" w:id="0">
    <w:p w:rsidR="00912BF6" w:rsidRDefault="00912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EB5" w:rsidRDefault="00153EB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0546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63D4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63D4B">
      <w:rPr>
        <w:rStyle w:val="ab"/>
        <w:rtl/>
      </w:rPr>
      <w:t>13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EB5" w:rsidRDefault="00153EB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2BF6" w:rsidRDefault="00912BF6">
      <w:r>
        <w:separator/>
      </w:r>
    </w:p>
  </w:footnote>
  <w:footnote w:type="continuationSeparator" w:id="0">
    <w:p w:rsidR="00912BF6" w:rsidRDefault="00912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EB5" w:rsidRDefault="00153EB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0333C">
    <w:pPr>
      <w:pStyle w:val="a3"/>
      <w:jc w:val="center"/>
      <w:rPr>
        <w:rFonts w:cs="FrankRuehl"/>
        <w:noProof w:val="0"/>
        <w:sz w:val="28"/>
        <w:szCs w:val="28"/>
        <w:rtl/>
      </w:rPr>
    </w:pPr>
    <w:r>
      <w:rPr>
        <w:rFonts w:cs="FrankRuehl"/>
        <w:sz w:val="28"/>
        <w:szCs w:val="28"/>
      </w:rPr>
      <w:drawing>
        <wp:inline distT="0" distB="0" distL="0" distR="0" wp14:anchorId="031BB381" wp14:editId="58C2146F">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501" w:type="dxa"/>
      <w:jc w:val="center"/>
      <w:tblLook w:val="0000" w:firstRow="0" w:lastRow="0" w:firstColumn="0" w:lastColumn="0" w:noHBand="0" w:noVBand="0"/>
    </w:tblPr>
    <w:tblGrid>
      <w:gridCol w:w="5808"/>
      <w:gridCol w:w="3693"/>
    </w:tblGrid>
    <w:tr w:rsidR="00694556" w:rsidTr="00FB7194">
      <w:trPr>
        <w:trHeight w:hRule="exact" w:val="418"/>
        <w:jc w:val="center"/>
      </w:trPr>
      <w:sdt>
        <w:sdtPr>
          <w:rPr>
            <w:sz w:val="30"/>
            <w:szCs w:val="30"/>
            <w:rtl/>
          </w:rPr>
          <w:alias w:val="1174"/>
          <w:tag w:val="1174"/>
          <w:id w:val="460396125"/>
          <w:text/>
        </w:sdtPr>
        <w:sdtEndPr/>
        <w:sdtContent>
          <w:tc>
            <w:tcPr>
              <w:tcW w:w="9501" w:type="dxa"/>
              <w:gridSpan w:val="2"/>
            </w:tcPr>
            <w:p w:rsidR="00694556" w:rsidRPr="00A02D93" w:rsidRDefault="00005C8B">
              <w:pPr>
                <w:pStyle w:val="a3"/>
                <w:jc w:val="center"/>
                <w:rPr>
                  <w:rFonts w:ascii="Tahoma" w:hAnsi="Tahoma"/>
                  <w:noProof w:val="0"/>
                  <w:color w:val="000080"/>
                  <w:sz w:val="30"/>
                  <w:szCs w:val="30"/>
                  <w:rtl/>
                </w:rPr>
              </w:pPr>
              <w:r w:rsidRPr="00A02D93">
                <w:rPr>
                  <w:rFonts w:ascii="Tahoma" w:hAnsi="Tahoma"/>
                  <w:b/>
                  <w:bCs/>
                  <w:noProof w:val="0"/>
                  <w:color w:val="000080"/>
                  <w:sz w:val="30"/>
                  <w:szCs w:val="30"/>
                  <w:rtl/>
                </w:rPr>
                <w:t>בית המשפט המחוזי בתל אביב -יפו</w:t>
              </w:r>
            </w:p>
          </w:tc>
        </w:sdtContent>
      </w:sdt>
    </w:tr>
    <w:tr w:rsidR="00694556" w:rsidTr="00FB7194">
      <w:trPr>
        <w:trHeight w:val="337"/>
        <w:jc w:val="center"/>
      </w:trPr>
      <w:tc>
        <w:tcPr>
          <w:tcW w:w="5808" w:type="dxa"/>
        </w:tcPr>
        <w:p w:rsidR="00694556" w:rsidRDefault="00694556">
          <w:pPr>
            <w:rPr>
              <w:b/>
              <w:bCs/>
              <w:noProof w:val="0"/>
              <w:sz w:val="26"/>
              <w:szCs w:val="26"/>
              <w:rtl/>
            </w:rPr>
          </w:pPr>
        </w:p>
      </w:tc>
      <w:tc>
        <w:tcPr>
          <w:tcW w:w="3693" w:type="dxa"/>
        </w:tcPr>
        <w:p w:rsidR="00694556" w:rsidRDefault="00694556">
          <w:pPr>
            <w:pStyle w:val="a3"/>
            <w:jc w:val="right"/>
            <w:rPr>
              <w:b/>
              <w:bCs/>
              <w:noProof w:val="0"/>
              <w:sz w:val="26"/>
              <w:szCs w:val="26"/>
              <w:rtl/>
            </w:rPr>
          </w:pPr>
        </w:p>
      </w:tc>
    </w:tr>
    <w:tr w:rsidR="00694556" w:rsidTr="00FB7194">
      <w:trPr>
        <w:trHeight w:val="337"/>
        <w:jc w:val="center"/>
      </w:trPr>
      <w:tc>
        <w:tcPr>
          <w:tcW w:w="9501" w:type="dxa"/>
          <w:gridSpan w:val="2"/>
        </w:tcPr>
        <w:p w:rsidR="000002B3" w:rsidRDefault="000002B3">
          <w:pPr>
            <w:rPr>
              <w:rtl/>
            </w:rPr>
          </w:pPr>
        </w:p>
        <w:p w:rsidR="00694556" w:rsidRPr="009109C6" w:rsidRDefault="00912BF6" w:rsidP="008A66E0">
          <w:pPr>
            <w:rPr>
              <w:b/>
              <w:bCs/>
              <w:noProof w:val="0"/>
              <w:sz w:val="26"/>
              <w:szCs w:val="26"/>
              <w:rtl/>
            </w:rPr>
          </w:pPr>
          <w:sdt>
            <w:sdtPr>
              <w:rPr>
                <w:rtl/>
              </w:rPr>
              <w:alias w:val="1170"/>
              <w:tag w:val="1170"/>
              <w:id w:val="1272976944"/>
              <w:text w:multiLine="1"/>
            </w:sdtPr>
            <w:sdtEndPr/>
            <w:sdtContent>
              <w:r w:rsidR="00FB7194">
                <w:rPr>
                  <w:b/>
                  <w:bCs/>
                  <w:noProof w:val="0"/>
                  <w:sz w:val="26"/>
                  <w:szCs w:val="26"/>
                  <w:rtl/>
                </w:rPr>
                <w:t>עמ"ש</w:t>
              </w:r>
            </w:sdtContent>
          </w:sdt>
          <w:r w:rsidR="00005C8B" w:rsidRPr="009109C6">
            <w:rPr>
              <w:b/>
              <w:bCs/>
              <w:noProof w:val="0"/>
              <w:sz w:val="26"/>
              <w:szCs w:val="26"/>
              <w:rtl/>
            </w:rPr>
            <w:t xml:space="preserve"> </w:t>
          </w:r>
          <w:bookmarkStart w:id="0" w:name="_GoBack"/>
          <w:sdt>
            <w:sdtPr>
              <w:rPr>
                <w:rtl/>
              </w:rPr>
              <w:alias w:val="1171"/>
              <w:tag w:val="1171"/>
              <w:id w:val="-1944829236"/>
              <w:text w:multiLine="1"/>
            </w:sdtPr>
            <w:sdtEndPr/>
            <w:sdtContent>
              <w:r w:rsidR="00FB7194">
                <w:rPr>
                  <w:b/>
                  <w:bCs/>
                  <w:noProof w:val="0"/>
                  <w:sz w:val="26"/>
                  <w:szCs w:val="26"/>
                  <w:rtl/>
                </w:rPr>
                <w:t>41825-10-22</w:t>
              </w:r>
            </w:sdtContent>
          </w:sdt>
          <w:bookmarkEnd w:id="0"/>
          <w:r w:rsidR="00005C8B" w:rsidRPr="009109C6">
            <w:rPr>
              <w:b/>
              <w:bCs/>
              <w:noProof w:val="0"/>
              <w:sz w:val="26"/>
              <w:szCs w:val="26"/>
              <w:rtl/>
            </w:rPr>
            <w:t xml:space="preserve"> </w:t>
          </w:r>
          <w:sdt>
            <w:sdtPr>
              <w:rPr>
                <w:rtl/>
              </w:rPr>
              <w:alias w:val="1172"/>
              <w:tag w:val="1172"/>
              <w:id w:val="-822969233"/>
              <w:text w:multiLine="1"/>
            </w:sdtPr>
            <w:sdtEndPr/>
            <w:sdtContent>
              <w:r w:rsidR="008A66E0">
                <w:rPr>
                  <w:rFonts w:hint="cs"/>
                  <w:b/>
                  <w:bCs/>
                  <w:noProof w:val="0"/>
                  <w:sz w:val="26"/>
                  <w:szCs w:val="26"/>
                  <w:rtl/>
                </w:rPr>
                <w:t>ש'</w:t>
              </w:r>
              <w:r w:rsidR="00FB7194">
                <w:rPr>
                  <w:b/>
                  <w:bCs/>
                  <w:noProof w:val="0"/>
                  <w:sz w:val="26"/>
                  <w:szCs w:val="26"/>
                  <w:rtl/>
                </w:rPr>
                <w:t xml:space="preserve"> נ' </w:t>
              </w:r>
              <w:r w:rsidR="008A66E0">
                <w:rPr>
                  <w:rFonts w:hint="cs"/>
                  <w:b/>
                  <w:bCs/>
                  <w:noProof w:val="0"/>
                  <w:sz w:val="26"/>
                  <w:szCs w:val="26"/>
                  <w:rtl/>
                </w:rPr>
                <w:t>א'</w:t>
              </w:r>
              <w:r w:rsidR="00FB7194">
                <w:rPr>
                  <w:b/>
                  <w:bCs/>
                  <w:noProof w:val="0"/>
                  <w:sz w:val="26"/>
                  <w:szCs w:val="26"/>
                  <w:rtl/>
                </w:rPr>
                <w:t xml:space="preserve"> ואח'</w:t>
              </w:r>
            </w:sdtContent>
          </w:sdt>
          <w:r w:rsidR="009109C6">
            <w:rPr>
              <w:rFonts w:hint="cs"/>
              <w:b/>
              <w:bCs/>
              <w:noProof w:val="0"/>
              <w:sz w:val="26"/>
              <w:szCs w:val="26"/>
              <w:rtl/>
            </w:rPr>
            <w:t xml:space="preserve"> </w:t>
          </w:r>
          <w:r w:rsidR="004D0FA5">
            <w:rPr>
              <w:rFonts w:hint="cs"/>
              <w:b/>
              <w:bCs/>
              <w:noProof w:val="0"/>
              <w:sz w:val="26"/>
              <w:szCs w:val="26"/>
              <w:rtl/>
            </w:rPr>
            <w:t xml:space="preserve">           </w:t>
          </w:r>
          <w:r w:rsidR="00A02D93">
            <w:rPr>
              <w:rFonts w:hint="cs"/>
              <w:b/>
              <w:bCs/>
              <w:noProof w:val="0"/>
              <w:sz w:val="26"/>
              <w:szCs w:val="26"/>
              <w:rtl/>
            </w:rPr>
            <w:t xml:space="preserve">     </w:t>
          </w:r>
          <w:r w:rsidR="00912B5F">
            <w:rPr>
              <w:rFonts w:hint="cs"/>
              <w:b/>
              <w:bCs/>
              <w:noProof w:val="0"/>
              <w:sz w:val="26"/>
              <w:szCs w:val="26"/>
              <w:rtl/>
            </w:rPr>
            <w:t xml:space="preserve">       </w:t>
          </w:r>
          <w:r w:rsidR="00A02D93">
            <w:rPr>
              <w:rFonts w:hint="cs"/>
              <w:b/>
              <w:bCs/>
              <w:noProof w:val="0"/>
              <w:sz w:val="26"/>
              <w:szCs w:val="26"/>
              <w:rtl/>
            </w:rPr>
            <w:t xml:space="preserve">  </w:t>
          </w:r>
          <w:r w:rsidR="00FB7194">
            <w:rPr>
              <w:rFonts w:hint="cs"/>
              <w:b/>
              <w:bCs/>
              <w:noProof w:val="0"/>
              <w:sz w:val="26"/>
              <w:szCs w:val="26"/>
              <w:rtl/>
            </w:rPr>
            <w:t xml:space="preserve">     </w:t>
          </w:r>
          <w:r w:rsidR="00A02D93">
            <w:rPr>
              <w:rFonts w:hint="cs"/>
              <w:b/>
              <w:bCs/>
              <w:noProof w:val="0"/>
              <w:sz w:val="26"/>
              <w:szCs w:val="26"/>
              <w:rtl/>
            </w:rPr>
            <w:t xml:space="preserve"> </w:t>
          </w:r>
          <w:sdt>
            <w:sdtPr>
              <w:rPr>
                <w:rFonts w:hint="cs"/>
                <w:b/>
                <w:bCs/>
                <w:noProof w:val="0"/>
                <w:sz w:val="26"/>
                <w:szCs w:val="26"/>
                <w:rtl/>
              </w:rPr>
              <w:alias w:val="1192"/>
              <w:tag w:val="1192"/>
              <w:id w:val="393938774"/>
              <w:placeholder>
                <w:docPart w:val="0C7EB024E988478CBC55EA12A1694B53"/>
              </w:placeholder>
              <w:text w:multiLine="1"/>
            </w:sdtPr>
            <w:sdtEndPr/>
            <w:sdtContent>
              <w:r w:rsidR="00FB7194">
                <w:rPr>
                  <w:rFonts w:hint="eastAsia"/>
                  <w:b/>
                  <w:bCs/>
                  <w:noProof w:val="0"/>
                  <w:sz w:val="26"/>
                  <w:szCs w:val="26"/>
                  <w:rtl/>
                </w:rPr>
                <w:t>06 דצמבר 2023</w:t>
              </w:r>
            </w:sdtContent>
          </w:sdt>
          <w:r w:rsidR="009109C6">
            <w:rPr>
              <w:b/>
              <w:bCs/>
              <w:noProof w:val="0"/>
              <w:sz w:val="26"/>
              <w:szCs w:val="26"/>
              <w:rtl/>
            </w:rPr>
            <w:t xml:space="preserve"> </w:t>
          </w:r>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EB5" w:rsidRDefault="00153E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2342E7"/>
    <w:multiLevelType w:val="hybridMultilevel"/>
    <w:tmpl w:val="80E0B8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3806197"/>
    <w:multiLevelType w:val="hybridMultilevel"/>
    <w:tmpl w:val="D7FC65B4"/>
    <w:lvl w:ilvl="0" w:tplc="C79C63D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68827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688277&amp;lt;/CaseID&amp;gt;_x000d__x000a_        &amp;lt;CaseMonth&amp;gt;10&amp;lt;/CaseMonth&amp;gt;_x000d__x000a_        &amp;lt;CaseYear&amp;gt;2022&amp;lt;/CaseYear&amp;gt;_x000d__x000a_        &amp;lt;CaseNumber&amp;gt;41825&amp;lt;/CaseNumber&amp;gt;_x000d__x000a_        &amp;lt;NumeratorGroupID&amp;gt;1&amp;lt;/NumeratorGroupID&amp;gt;_x000d__x000a_        &amp;lt;CaseName&amp;gt;שאולי נ&amp;#39; ארנברג ואח&amp;#39;&amp;lt;/CaseName&amp;gt;_x000d__x000a_        &amp;lt;CourtID&amp;gt;15&amp;lt;/CourtID&amp;gt;_x000d__x000a_        &amp;lt;CaseTypeID&amp;gt;63&amp;lt;/CaseTypeID&amp;gt;_x000d__x000a_        &amp;lt;CaseInterestID&amp;gt;10336&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1825-10-22&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10-25T13:29:00+03:00&amp;lt;/CaseOpenDate&amp;gt;_x000d__x000a_        &amp;lt;PleaTypeID&amp;gt;6&amp;lt;/PleaTypeID&amp;gt;_x000d__x000a_        &amp;lt;CourtLevelID&amp;gt;2&amp;lt;/CourtLevelID&amp;gt;_x000d__x000a_        &amp;lt;CourtLevelCaseTypeInterestID&amp;gt;1212&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עותק הש&amp;#39; רסלר לתיוק פתוחים. _x000d__x000a_&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688277&amp;lt;/CaseID&amp;gt;_x000d__x000a_        &amp;lt;CaseMonth&amp;gt;10&amp;lt;/CaseMonth&amp;gt;_x000d__x000a_        &amp;lt;CaseYear&amp;gt;2022&amp;lt;/CaseYear&amp;gt;_x000d__x000a_        &amp;lt;CaseNumber&amp;gt;41825&amp;lt;/CaseNumber&amp;gt;_x000d__x000a_        &amp;lt;NumeratorGroupID&amp;gt;1&amp;lt;/NumeratorGroupID&amp;gt;_x000d__x000a_        &amp;lt;CaseName&amp;gt;שאולי נ&amp;#39; ארנברג ואח&amp;#39;&amp;lt;/CaseName&amp;gt;_x000d__x000a_        &amp;lt;CourtID&amp;gt;15&amp;lt;/CourtID&amp;gt;_x000d__x000a_        &amp;lt;CaseTypeID&amp;gt;63&amp;lt;/CaseTypeID&amp;gt;_x000d__x000a_        &amp;lt;CaseInterestID&amp;gt;10336&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1825-10-22&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2-10-25T13:29:00+03:00&amp;lt;/CaseOpenDate&amp;gt;_x000d__x000a_        &amp;lt;PleaTypeID&amp;gt;6&amp;lt;/PleaTypeID&amp;gt;_x000d__x000a_        &amp;lt;CourtLevelID&amp;gt;2&amp;lt;/CourtLevelID&amp;gt;_x000d__x000a_        &amp;lt;CourtLevelCaseTypeInterestID&amp;gt;1212&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עותק הש&amp;#39; רסלר לתיוק פתוחים. _x000d__x000a_&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435422&amp;lt;/DecisionID&amp;gt;_x000d__x000a_        &amp;lt;DecisionName&amp;gt;פסק דין  שניתנה ע&amp;quot;י  שאול שוחט&amp;lt;/DecisionName&amp;gt;_x000d__x000a_        &amp;lt;DecisionStatusID&amp;gt;1&amp;lt;/DecisionStatusID&amp;gt;_x000d__x000a_        &amp;lt;DecisionStatusChangeDate&amp;gt;2023-12-06T12:18:51.487+02:00&amp;lt;/DecisionStatusChangeDate&amp;gt;_x000d__x000a_        &amp;lt;DecisionSignatureDate&amp;gt;2023-12-06T12:18:48.463+02:00&amp;lt;/DecisionSignatureDate&amp;gt;_x000d__x000a_        &amp;lt;DecisionSignatureUserID&amp;gt;053515011@GOV.IL&amp;lt;/DecisionSignatureUserID&amp;gt;_x000d__x000a_        &amp;lt;DecisionCreateDate&amp;gt;2023-12-06T11:52:14.31+02:00&amp;lt;/DecisionCreateDate&amp;gt;_x000d__x000a_        &amp;lt;DecisionChangeDate&amp;gt;2023-12-06T12:18:51.603+02:00&amp;lt;/DecisionChangeDate&amp;gt;_x000d__x000a_        &amp;lt;DecisionChangeUserID&amp;gt;3183561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779556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35150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8356151@GOV.IL&amp;lt;/DecisionCreationUserID&amp;gt;_x000d__x000a_        &amp;lt;DecisionDisplayName&amp;gt;פסק דין  שניתנה ע&amp;quot;י  שאול שוחט&amp;lt;/DecisionDisplayName&amp;gt;_x000d__x000a_        &amp;lt;IsScanned&amp;gt;false&amp;lt;/IsScanned&amp;gt;_x000d__x000a_        &amp;lt;DecisionSignatureUserName&amp;gt;שאול שוח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amp;gt;_x000d__x000a_        &amp;lt;DecisionID&amp;gt;148435422&amp;lt;/DecisionID&amp;gt;_x000d__x000a_        &amp;lt;CaseID&amp;gt;79688277&amp;lt;/CaseID&amp;gt;_x000d__x000a_        &amp;lt;IsOriginal&amp;gt;true&amp;lt;/IsOriginal&amp;gt;_x000d__x000a_        &amp;lt;IsDeleted&amp;gt;false&amp;lt;/IsDeleted&amp;gt;_x000d__x000a_        &amp;lt;CaseName&amp;gt;שאולי נ&amp;#39; ארנברג ואח&amp;#39;&amp;lt;/CaseName&amp;gt;_x000d__x000a_        &amp;lt;CaseDisplayIdentifier&amp;gt;41825-10-22 עמ&amp;quot;ש&amp;lt;/CaseDisplayIdentifier&amp;gt;_x000d__x000a_      &amp;lt;/dt_DecisionCase&amp;gt;_x000d__x000a_      &amp;lt;dt_DecisionJudgePanel diffgr:id=&amp;quot;dt_DecisionJudgePanel1&amp;quot; msdata:rowOrder=&amp;quot;0&amp;quot;&amp;gt;_x000d__x000a_        &amp;lt;DecisionID&amp;gt;148435422&amp;lt;/DecisionID&amp;gt;_x000d__x000a_        &amp;lt;JudgeID&amp;gt;053515011@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48435422&amp;lt;/DecisionID&amp;gt;_x000d__x000a_        &amp;lt;JudgeID&amp;gt;059644039@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48435422&amp;lt;/DecisionID&amp;gt;_x000d__x000a_        &amp;lt;JudgeID&amp;gt;022383467@GOV.IL&amp;lt;/JudgeID&amp;gt;_x000d__x000a_        &amp;lt;OrdinalNumber&amp;gt;3&amp;lt;/OrdinalNumber&amp;gt;_x000d__x000a_      &amp;lt;/dt_DecisionJudgePanel&amp;gt;_x000d__x000a_    &amp;lt;/DecisionDS&amp;gt;_x000d__x000a_  &amp;lt;/diffgr:diffgram&amp;gt;_x000d__x000a_&amp;lt;/DecisionDS&amp;gt;"/>
    <w:docVar w:name="DecisionID" w:val="148435422"/>
    <w:docVar w:name="docID" w:val="427795560"/>
    <w:docVar w:name="judgeUPN" w:val="053515011@GOV.IL"/>
    <w:docVar w:name="NGCS.TemplateCaseInterestID" w:val="10336"/>
    <w:docVar w:name="NGCS.TemplateCaseTypeID" w:val="63"/>
    <w:docVar w:name="NGCS.TemplateCourtID" w:val="15"/>
    <w:docVar w:name="NGCS.TemplateProceedingID" w:val="14"/>
    <w:docVar w:name="noteDocID" w:val="427795560"/>
    <w:docVar w:name="WordClientAssemblyName" w:val="NGCS.Decision.ClientWordBL"/>
    <w:docVar w:name="WordClientClassName" w:val="NGCS.Decision.ClientWordBL.JudgePanelSignDecisionClient"/>
  </w:docVars>
  <w:rsids>
    <w:rsidRoot w:val="00694556"/>
    <w:rsid w:val="000002B3"/>
    <w:rsid w:val="00005C8B"/>
    <w:rsid w:val="000564AB"/>
    <w:rsid w:val="00064FBD"/>
    <w:rsid w:val="00096AF7"/>
    <w:rsid w:val="000C3B0F"/>
    <w:rsid w:val="000F0BC8"/>
    <w:rsid w:val="00107E6D"/>
    <w:rsid w:val="0011194C"/>
    <w:rsid w:val="00116E4D"/>
    <w:rsid w:val="001346CC"/>
    <w:rsid w:val="00144D2A"/>
    <w:rsid w:val="00153EB5"/>
    <w:rsid w:val="00180519"/>
    <w:rsid w:val="001C4003"/>
    <w:rsid w:val="001F6E08"/>
    <w:rsid w:val="0020333C"/>
    <w:rsid w:val="002265FF"/>
    <w:rsid w:val="00307A6A"/>
    <w:rsid w:val="00307C40"/>
    <w:rsid w:val="00320433"/>
    <w:rsid w:val="003333B2"/>
    <w:rsid w:val="00333451"/>
    <w:rsid w:val="003506A5"/>
    <w:rsid w:val="0036743F"/>
    <w:rsid w:val="00375371"/>
    <w:rsid w:val="0043125D"/>
    <w:rsid w:val="0043502B"/>
    <w:rsid w:val="004359FB"/>
    <w:rsid w:val="0044462A"/>
    <w:rsid w:val="004C4BDF"/>
    <w:rsid w:val="004D0FA5"/>
    <w:rsid w:val="004D1187"/>
    <w:rsid w:val="004E6E3C"/>
    <w:rsid w:val="00504841"/>
    <w:rsid w:val="00517733"/>
    <w:rsid w:val="005268F6"/>
    <w:rsid w:val="00547DB7"/>
    <w:rsid w:val="00553AE9"/>
    <w:rsid w:val="00563D4B"/>
    <w:rsid w:val="005E2E46"/>
    <w:rsid w:val="005E63DC"/>
    <w:rsid w:val="00622BAA"/>
    <w:rsid w:val="00671BD5"/>
    <w:rsid w:val="006805C1"/>
    <w:rsid w:val="00694556"/>
    <w:rsid w:val="006C3D60"/>
    <w:rsid w:val="006D201D"/>
    <w:rsid w:val="006E1A53"/>
    <w:rsid w:val="00704EDA"/>
    <w:rsid w:val="007E6115"/>
    <w:rsid w:val="007F4609"/>
    <w:rsid w:val="008023D9"/>
    <w:rsid w:val="00820005"/>
    <w:rsid w:val="00825203"/>
    <w:rsid w:val="00896889"/>
    <w:rsid w:val="008A14D8"/>
    <w:rsid w:val="008A44DA"/>
    <w:rsid w:val="008A66E0"/>
    <w:rsid w:val="008C5714"/>
    <w:rsid w:val="00903896"/>
    <w:rsid w:val="00906F3D"/>
    <w:rsid w:val="009109C6"/>
    <w:rsid w:val="00912B5F"/>
    <w:rsid w:val="00912BF6"/>
    <w:rsid w:val="00A02D93"/>
    <w:rsid w:val="00A912E2"/>
    <w:rsid w:val="00A94B64"/>
    <w:rsid w:val="00AC3B7B"/>
    <w:rsid w:val="00AC5209"/>
    <w:rsid w:val="00B80CBD"/>
    <w:rsid w:val="00B86096"/>
    <w:rsid w:val="00B96FA1"/>
    <w:rsid w:val="00BF1908"/>
    <w:rsid w:val="00C22D93"/>
    <w:rsid w:val="00C34482"/>
    <w:rsid w:val="00CD5EDA"/>
    <w:rsid w:val="00D33B86"/>
    <w:rsid w:val="00D53924"/>
    <w:rsid w:val="00D55D0C"/>
    <w:rsid w:val="00D677F5"/>
    <w:rsid w:val="00D96D8C"/>
    <w:rsid w:val="00DA6649"/>
    <w:rsid w:val="00E05465"/>
    <w:rsid w:val="00E51415"/>
    <w:rsid w:val="00E54642"/>
    <w:rsid w:val="00EA67C8"/>
    <w:rsid w:val="00EC37E9"/>
    <w:rsid w:val="00F00140"/>
    <w:rsid w:val="00F002A0"/>
    <w:rsid w:val="00F84B6D"/>
    <w:rsid w:val="00FB7194"/>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6B505-8601-4B5A-9E08-77154671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09C6"/>
    <w:rPr>
      <w:color w:val="808080"/>
    </w:rPr>
  </w:style>
  <w:style w:type="paragraph" w:styleId="ad">
    <w:name w:val="List Paragraph"/>
    <w:basedOn w:val="a"/>
    <w:uiPriority w:val="34"/>
    <w:qFormat/>
    <w:rsid w:val="008A66E0"/>
    <w:pPr>
      <w:spacing w:after="160" w:line="254" w:lineRule="auto"/>
      <w:ind w:left="720"/>
      <w:contextualSpacing/>
    </w:pPr>
    <w:rPr>
      <w:rFonts w:asciiTheme="minorHAnsi" w:eastAsiaTheme="minorHAnsi" w:hAnsiTheme="minorHAnsi" w:cstheme="minorBidi"/>
      <w:noProof w:val="0"/>
      <w:sz w:val="22"/>
      <w:szCs w:val="22"/>
    </w:rPr>
  </w:style>
  <w:style w:type="paragraph" w:customStyle="1" w:styleId="Ruller4">
    <w:name w:val="Ruller4"/>
    <w:basedOn w:val="a"/>
    <w:rsid w:val="008A66E0"/>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94994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cid:image003.png@01D5D9AF.3D52D300"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cid:image002.gif@01D5D9AF.3D52D300"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image" Target="media/image4.pn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7EB024E988478CBC55EA12A1694B53"/>
        <w:category>
          <w:name w:val="כללי"/>
          <w:gallery w:val="placeholder"/>
        </w:category>
        <w:types>
          <w:type w:val="bbPlcHdr"/>
        </w:types>
        <w:behaviors>
          <w:behavior w:val="content"/>
        </w:behaviors>
        <w:guid w:val="{B61043EE-A640-4974-81B4-F2972A713729}"/>
      </w:docPartPr>
      <w:docPartBody>
        <w:p w:rsidR="00785B86" w:rsidRDefault="00543A6E" w:rsidP="00543A6E">
          <w:pPr>
            <w:pStyle w:val="0C7EB024E988478CBC55EA12A1694B532"/>
          </w:pPr>
          <w:r>
            <w:rPr>
              <w:rFonts w:hint="eastAsia"/>
              <w:b/>
              <w:bCs/>
              <w:noProof w:val="0"/>
              <w:sz w:val="26"/>
              <w:szCs w:val="26"/>
              <w:rtl/>
            </w:rPr>
            <w:t>תאריך</w:t>
          </w:r>
          <w:r>
            <w:rPr>
              <w:b/>
              <w:bCs/>
              <w:noProof w:val="0"/>
              <w:sz w:val="26"/>
              <w:szCs w:val="26"/>
              <w:rtl/>
            </w:rPr>
            <w:t xml:space="preserve"> מתן החלטה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3B"/>
    <w:rsid w:val="00354708"/>
    <w:rsid w:val="0046533B"/>
    <w:rsid w:val="00543A6E"/>
    <w:rsid w:val="00785B86"/>
    <w:rsid w:val="00F478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A6E"/>
    <w:rPr>
      <w:color w:val="808080"/>
    </w:rPr>
  </w:style>
  <w:style w:type="paragraph" w:customStyle="1" w:styleId="0C7EB024E988478CBC55EA12A1694B53">
    <w:name w:val="0C7EB024E988478CBC55EA12A1694B53"/>
    <w:rsid w:val="00785B86"/>
    <w:pPr>
      <w:bidi/>
      <w:spacing w:after="0" w:line="240" w:lineRule="auto"/>
    </w:pPr>
    <w:rPr>
      <w:rFonts w:ascii="Times New Roman" w:eastAsia="Times New Roman" w:hAnsi="Times New Roman" w:cs="David"/>
      <w:noProof/>
      <w:sz w:val="24"/>
      <w:szCs w:val="24"/>
    </w:rPr>
  </w:style>
  <w:style w:type="paragraph" w:customStyle="1" w:styleId="0C7EB024E988478CBC55EA12A1694B531">
    <w:name w:val="0C7EB024E988478CBC55EA12A1694B531"/>
    <w:rsid w:val="00F478C7"/>
    <w:pPr>
      <w:bidi/>
      <w:spacing w:after="0" w:line="240" w:lineRule="auto"/>
    </w:pPr>
    <w:rPr>
      <w:rFonts w:ascii="Times New Roman" w:eastAsia="Times New Roman" w:hAnsi="Times New Roman" w:cs="David"/>
      <w:noProof/>
      <w:sz w:val="24"/>
      <w:szCs w:val="24"/>
    </w:rPr>
  </w:style>
  <w:style w:type="paragraph" w:customStyle="1" w:styleId="0C7EB024E988478CBC55EA12A1694B532">
    <w:name w:val="0C7EB024E988478CBC55EA12A1694B532"/>
    <w:rsid w:val="00543A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79688277</CaseID>
    <CaseJudicialPersonPresentationDS>
      <CaseJudicalPersonActive>
        <CaseID>79688277</CaseID>
        <JudicialPersonID>053515011@GOV.IL</JudicialPersonID>
        <JudicialPersonTypeID>1</JudicialPersonTypeID>
        <JudicialTypeID>3</JudicialTypeID>
        <IsChairman>true</IsChairman>
        <TreatmentStartDate>2023-12-06T11:44:19.903+02:00</TreatmentStartDate>
        <TreatmentFinishDate>9999-12-31T23:59:59.997+02:00</TreatmentFinishDate>
        <IdentificationCardNumber>053515011</IdentificationCardNumber>
        <DisplayName>שאול שוחט</DisplayName>
        <JudicialTypeName>הרכב שופטים</JudicialTypeName>
        <CaseJudicialGroupNumber>559126</CaseJudicialGroupNumber>
        <FirstName>שאול</FirstName>
        <LastName>שוחט</LastName>
        <JudicialPersonTitle>שופט</JudicialPersonTitle>
      </CaseJudicalPersonActive>
      <CaseJudicalPersonActive>
        <CaseID>79688277</CaseID>
        <JudicialPersonID>059644039@GOV.IL</JudicialPersonID>
        <JudicialPersonTypeID>1</JudicialPersonTypeID>
        <JudicialTypeID>3</JudicialTypeID>
        <IsChairman>false</IsChairman>
        <TreatmentStartDate>2023-12-06T11:44:19.903+02:00</TreatmentStartDate>
        <TreatmentFinishDate>9999-12-31T23:59:59.997+02:00</TreatmentFinishDate>
        <IdentificationCardNumber>059644039</IdentificationCardNumber>
        <DisplayName>נפתלי שילה</DisplayName>
        <JudicialTypeName>הרכב שופטים</JudicialTypeName>
        <CaseJudicialGroupNumber>559126</CaseJudicialGroupNumber>
        <FirstName>נפתלי</FirstName>
        <LastName>שילה</LastName>
        <JudicialPersonTitle>שופט</JudicialPersonTitle>
      </CaseJudicalPersonActive>
      <CaseJudicalPersonActive>
        <CaseID>79688277</CaseID>
        <JudicialPersonID>022383467@GOV.IL</JudicialPersonID>
        <JudicialPersonTypeID>1</JudicialPersonTypeID>
        <JudicialTypeID>3</JudicialTypeID>
        <IsChairman>false</IsChairman>
        <TreatmentStartDate>2023-12-06T11:44:19.903+02:00</TreatmentStartDate>
        <TreatmentFinishDate>9999-12-31T23:59:59.997+02:00</TreatmentFinishDate>
        <IdentificationCardNumber>022383467</IdentificationCardNumber>
        <DisplayName>סיגל רסלר-זכאי</DisplayName>
        <JudicialTypeName>הרכב שופטים</JudicialTypeName>
        <CaseJudicialGroupNumber>559126</CaseJudicialGroupNumber>
        <FirstName>סיגל</FirstName>
        <LastName>רסלר-זכאי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דניאל ארנסט</FullName>
        <FirstName>דניאל</FirstName>
        <LastName>ארנסט</LastName>
        <PartyPropertyName/>
        <AuthenticationTypeAndNumber>מ.ר. 10733</AuthenticationTypeAndNumber>
        <RepresentatedOrRepresentativesNames>שמעון שאולי</RepresentatedOrRepresentativesNames>
        <RepresentatedOrRepresentativesCount>1</RepresentatedOrRepresentativesCount>
        <InvitedBy/>
        <CaseID>79688277</CaseID>
        <CaseJudicialPersonPresentationDS>
          <CaseJudicalPersonActive>
            <CaseID>79688277</CaseID>
            <JudicialPersonID>053515011@GOV.IL</JudicialPersonID>
            <JudicialPersonTypeID>1</JudicialPersonTypeID>
            <JudicialTypeID>3</JudicialTypeID>
            <IsChairman>true</IsChairman>
            <TreatmentStartDate>2023-12-06T11:44:19.903+02:00</TreatmentStartDate>
            <TreatmentFinishDate>9999-12-31T23:59:59.997+02:00</TreatmentFinishDate>
            <IdentificationCardNumber>053515011</IdentificationCardNumber>
            <DisplayName>שאול שוחט</DisplayName>
            <JudicialTypeName>הרכב שופטים</JudicialTypeName>
            <CaseJudicialGroupNumber>559126</CaseJudicialGroupNumber>
            <FirstName>שאול</FirstName>
            <LastName>שוחט</LastName>
            <JudicialPersonTitle>שופט</JudicialPersonTitle>
          </CaseJudicalPersonActive>
          <CaseJudicalPersonActive>
            <CaseID>79688277</CaseID>
            <JudicialPersonID>059644039@GOV.IL</JudicialPersonID>
            <JudicialPersonTypeID>1</JudicialPersonTypeID>
            <JudicialTypeID>3</JudicialTypeID>
            <IsChairman>false</IsChairman>
            <TreatmentStartDate>2023-12-06T11:44:19.903+02:00</TreatmentStartDate>
            <TreatmentFinishDate>9999-12-31T23:59:59.997+02:00</TreatmentFinishDate>
            <IdentificationCardNumber>059644039</IdentificationCardNumber>
            <DisplayName>נפתלי שילה</DisplayName>
            <JudicialTypeName>הרכב שופטים</JudicialTypeName>
            <CaseJudicialGroupNumber>559126</CaseJudicialGroupNumber>
            <FirstName>נפתלי</FirstName>
            <LastName>שילה</LastName>
            <JudicialPersonTitle>שופט</JudicialPersonTitle>
          </CaseJudicalPersonActive>
          <CaseJudicalPersonActive>
            <CaseID>79688277</CaseID>
            <JudicialPersonID>022383467@GOV.IL</JudicialPersonID>
            <JudicialPersonTypeID>1</JudicialPersonTypeID>
            <JudicialTypeID>3</JudicialTypeID>
            <IsChairman>false</IsChairman>
            <TreatmentStartDate>2023-12-06T11:44:19.903+02:00</TreatmentStartDate>
            <TreatmentFinishDate>9999-12-31T23:59:59.997+02:00</TreatmentFinishDate>
            <IdentificationCardNumber>022383467</IdentificationCardNumber>
            <DisplayName>סיגל רסלר-זכאי</DisplayName>
            <JudicialTypeName>הרכב שופטים</JudicialTypeName>
            <CaseJudicialGroupNumber>559126</CaseJudicialGroupNumber>
            <FirstName>סיגל</FirstName>
            <LastName>רסלר-זכאי</LastName>
            <JudicialPersonTitle>שופט</JudicialPersonTitle>
          </CaseJudicalPersonActive>
        </CaseJudicialPersonPresentationDS>
        <CasePartyID>247015035</CasePartyID>
        <PartyTypeID>2</PartyTypeID>
        <ActivityStatusID>1</ActivityStatusID>
        <PartyAliasID>24</PartyAliasID>
        <PartyAliasName>בא כוח מערערים</PartyAliasName>
        <LegalEntityID>394644</LegalEntityID>
        <CaseLegalEntityID>121680574</CaseLegalEntityID>
        <AuthenticationTypeID>4</AuthenticationTypeID>
        <AuthenticationTypeName>מ.ר.</AuthenticationTypeName>
        <LegalEntityNumber>10733</LegalEntityNumber>
        <IsMainPartyType>true</IsMainPartyType>
        <CaseDisplayIdentifier>41825-10-22</CaseDisplayIdentifier>
        <CaseTypeID>63</CaseTypeID>
        <CaseTypeName>ערעור משפחה (עמ"ש)</CaseTypeName>
        <CaseName>שאולי נ' ארנברג ואח'</CaseName>
        <FullAddress>ויצמן 4 תל אביב -יפו בית אסיה</FullAddress>
        <EmailAddress>dani@daniernst.com</EmailAddress>
        <MotionID>0</MotionID>
        <CasePleaID>0</CasePleaID>
        <FatherName xml:space="preserve">        </FatherName>
        <LinkedCaseID>0</LinkedCaseID>
        <PartyID>1</PartyID>
        <CasePartyCategoryID>2</CasePartyCategoryID>
        <LegalEntityAddressID>80009345</LegalEntityAddressID>
        <LegalEntityEmailAddressID>67930058</LegalEntityEmailAddressID>
        <PleaTypeID>6</PleaTypeID>
        <LawyerOfficeName>דניאל ארנסט </LawyerOfficeName>
        <LawyerOfficeID>419851</LawyerOfficeID>
        <GroupPartyAlias/>
        <IsConverted>false</IsConverted>
        <LegalEntityNameID>15628</LegalEntityNameID>
        <RepresentatedNamesOfAssistant/>
        <LegalEntityTypeID>4</LegalEntityTypeID>
        <IsVerdictExists>false</IsVerdictExists>
        <IsAsirAzir>false</IsAsirAzir>
        <IsPublicationProhibited>false</IsPublicationProhibited>
        <PublicationProhibitedFullName>דניאל ארנסט</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חיים שטרן</FullName>
        <FirstName>חיים</FirstName>
        <LastName>שטרן</LastName>
        <PartyPropertyName/>
        <AuthenticationTypeAndNumber>מ.ר. 11317</AuthenticationTypeAndNumber>
        <RepresentatedOrRepresentativesNames>שמעון שאולי</RepresentatedOrRepresentativesNames>
        <RepresentatedOrRepresentativesCount>1</RepresentatedOrRepresentativesCount>
        <InvitedBy/>
        <CaseID>79688277</CaseID>
        <CaseJudicialPersonPresentationDS>
          <CaseJudicalPersonActive>
            <CaseID>79688277</CaseID>
            <JudicialPersonID>053515011@GOV.IL</JudicialPersonID>
            <JudicialPersonTypeID>1</JudicialPersonTypeID>
            <JudicialTypeID>3</JudicialTypeID>
            <IsChairman>true</IsChairman>
            <TreatmentStartDate>2023-12-06T11:44:19.903+02:00</TreatmentStartDate>
            <TreatmentFinishDate>9999-12-31T23:59:59.997+02:00</TreatmentFinishDate>
            <IdentificationCardNumber>053515011</IdentificationCardNumber>
            <DisplayName>שאול שוחט</DisplayName>
            <JudicialTypeName>הרכב שופטים</JudicialTypeName>
            <CaseJudicialGroupNumber>559126</CaseJudicialGroupNumber>
            <FirstName>שאול</FirstName>
            <LastName>שוחט</LastName>
            <JudicialPersonTitle>שופט</JudicialPersonTitle>
          </CaseJudicalPersonActive>
          <CaseJudicalPersonActive>
            <CaseID>79688277</CaseID>
            <JudicialPersonID>059644039@GOV.IL</JudicialPersonID>
            <JudicialPersonTypeID>1</JudicialPersonTypeID>
            <JudicialTypeID>3</JudicialTypeID>
            <IsChairman>false</IsChairman>
            <TreatmentStartDate>2023-12-06T11:44:19.903+02:00</TreatmentStartDate>
            <TreatmentFinishDate>9999-12-31T23:59:59.997+02:00</TreatmentFinishDate>
            <IdentificationCardNumber>059644039</IdentificationCardNumber>
            <DisplayName>נפתלי שילה</DisplayName>
            <JudicialTypeName>הרכב שופטים</JudicialTypeName>
            <CaseJudicialGroupNumber>559126</CaseJudicialGroupNumber>
            <FirstName>נפתלי</FirstName>
            <LastName>שילה</LastName>
            <JudicialPersonTitle>שופט</JudicialPersonTitle>
          </CaseJudicalPersonActive>
          <CaseJudicalPersonActive>
            <CaseID>79688277</CaseID>
            <JudicialPersonID>022383467@GOV.IL</JudicialPersonID>
            <JudicialPersonTypeID>1</JudicialPersonTypeID>
            <JudicialTypeID>3</JudicialTypeID>
            <IsChairman>false</IsChairman>
            <TreatmentStartDate>2023-12-06T11:44:19.903+02:00</TreatmentStartDate>
            <TreatmentFinishDate>9999-12-31T23:59:59.997+02:00</TreatmentFinishDate>
            <IdentificationCardNumber>022383467</IdentificationCardNumber>
            <DisplayName>סיגל רסלר-זכאי</DisplayName>
            <JudicialTypeName>הרכב שופטים</JudicialTypeName>
            <CaseJudicialGroupNumber>559126</CaseJudicialGroupNumber>
            <FirstName>סיגל</FirstName>
            <LastName>רסלר-זכאי</LastName>
            <JudicialPersonTitle>שופט</JudicialPersonTitle>
          </CaseJudicalPersonActive>
        </CaseJudicialPersonPresentationDS>
        <CasePartyID>247013391</CasePartyID>
        <PartyTypeID>2</PartyTypeID>
        <ActivityStatusID>1</ActivityStatusID>
        <PartyAliasID>24</PartyAliasID>
        <PartyAliasName>בא כוח מערערים</PartyAliasName>
        <OrdinalNumber>1</OrdinalNumber>
        <LegalEntityID>385878</LegalEntityID>
        <CaseLegalEntityID>121680174</CaseLegalEntityID>
        <AuthenticationTypeID>4</AuthenticationTypeID>
        <AuthenticationTypeName>מ.ר.</AuthenticationTypeName>
        <LegalEntityNumber>11317</LegalEntityNumber>
        <IsMainPartyType>true</IsMainPartyType>
        <CaseDisplayIdentifier>41825-10-22</CaseDisplayIdentifier>
        <CaseTypeID>63</CaseTypeID>
        <CaseTypeName>ערעור משפחה (עמ"ש)</CaseTypeName>
        <CaseName>שאולי נ' ארנברג ואח'</CaseName>
        <FullAddress>לינקולן 20 תל אביב -יפו בית רובינשטיין</FullAddress>
        <MotionID>0</MotionID>
        <CasePleaID>0</CasePleaID>
        <LinkedCaseID>0</LinkedCaseID>
        <PartyID>1</PartyID>
        <CasePartyCategoryID>2</CasePartyCategoryID>
        <LegalEntityAddressID>438473</LegalEntityAddressID>
        <PleaTypeID>6</PleaTypeID>
        <LawyerOfficeName>משרד עו"ד: כרמית בר-און -יהודה רוה ושות'</LawyerOfficeName>
        <LawyerOfficeID>436135</LawyerOfficeID>
        <GroupPartyAlias/>
        <IsConverted>false</IsConverted>
        <LegalEntityNameID>6862</LegalEntityNameID>
        <RepresentatedNamesOfAssistant/>
        <LegalEntityTypeID>4</LegalEntityTypeID>
        <IsVerdictExists>false</IsVerdictExists>
        <IsAsirAzir>false</IsAsirAzir>
        <IsPublicationProhibited>false</IsPublicationProhibited>
        <PublicationProhibitedFullName>חיים שטרן</PublicationProhibitedFullName>
      </CaseParties>
      <CaseParties>
        <PartyTypeName>צד</PartyTypeName>
        <ProceedingType>כתב טענות עיקרי</ProceedingType>
        <PleaName>הודעת ערעור</PleaName>
        <PartyBelonging>צד א'</PartyBelonging>
        <RoleName>מערער 1 - תובע</RoleName>
        <IsSubProceeding>FALSE</IsSubProceeding>
        <FullName>שמעון שאולי</FullName>
        <FirstName>שמעון</FirstName>
        <LastName>שאולי</LastName>
        <PartyPropertyName/>
        <AuthenticationTypeAndNumber>ת"ז 051093193</AuthenticationTypeAndNumber>
        <RepresentatedOrRepresentativesNames>דניאל ארנסט, חיים שטרן</RepresentatedOrRepresentativesNames>
        <RepresentatedOrRepresentativesCount>2</RepresentatedOrRepresentativesCount>
        <InvitedBy/>
        <CaseID>79688277</CaseID>
        <CaseJudicialPersonPresentationDS>
          <CaseJudicalPersonActive>
            <CaseID>79688277</CaseID>
            <JudicialPersonID>053515011@GOV.IL</JudicialPersonID>
            <JudicialPersonTypeID>1</JudicialPersonTypeID>
            <JudicialTypeID>3</JudicialTypeID>
            <IsChairman>true</IsChairman>
            <TreatmentStartDate>2023-12-06T11:44:19.903+02:00</TreatmentStartDate>
            <TreatmentFinishDate>9999-12-31T23:59:59.997+02:00</TreatmentFinishDate>
            <IdentificationCardNumber>053515011</IdentificationCardNumber>
            <DisplayName>שאול שוחט</DisplayName>
            <JudicialTypeName>הרכב שופטים</JudicialTypeName>
            <CaseJudicialGroupNumber>559126</CaseJudicialGroupNumber>
            <FirstName>שאול</FirstName>
            <LastName>שוחט</LastName>
            <JudicialPersonTitle>שופט</JudicialPersonTitle>
          </CaseJudicalPersonActive>
          <CaseJudicalPersonActive>
            <CaseID>79688277</CaseID>
            <JudicialPersonID>059644039@GOV.IL</JudicialPersonID>
            <JudicialPersonTypeID>1</JudicialPersonTypeID>
            <JudicialTypeID>3</JudicialTypeID>
            <IsChairman>false</IsChairman>
            <TreatmentStartDate>2023-12-06T11:44:19.903+02:00</TreatmentStartDate>
            <TreatmentFinishDate>9999-12-31T23:59:59.997+02:00</TreatmentFinishDate>
            <IdentificationCardNumber>059644039</IdentificationCardNumber>
            <DisplayName>נפתלי שילה</DisplayName>
            <JudicialTypeName>הרכב שופטים</JudicialTypeName>
            <CaseJudicialGroupNumber>559126</CaseJudicialGroupNumber>
            <FirstName>נפתלי</FirstName>
            <LastName>שילה</LastName>
            <JudicialPersonTitle>שופט</JudicialPersonTitle>
          </CaseJudicalPersonActive>
          <CaseJudicalPersonActive>
            <CaseID>79688277</CaseID>
            <JudicialPersonID>022383467@GOV.IL</JudicialPersonID>
            <JudicialPersonTypeID>1</JudicialPersonTypeID>
            <JudicialTypeID>3</JudicialTypeID>
            <IsChairman>false</IsChairman>
            <TreatmentStartDate>2023-12-06T11:44:19.903+02:00</TreatmentStartDate>
            <TreatmentFinishDate>9999-12-31T23:59:59.997+02:00</TreatmentFinishDate>
            <IdentificationCardNumber>022383467</IdentificationCardNumber>
            <DisplayName>סיגל רסלר-זכאי</DisplayName>
            <JudicialTypeName>הרכב שופטים</JudicialTypeName>
            <CaseJudicialGroupNumber>559126</CaseJudicialGroupNumber>
            <FirstName>סיגל</FirstName>
            <LastName>רסלר-זכאי</LastName>
            <JudicialPersonTitle>שופט</JudicialPersonTitle>
          </CaseJudicalPersonActive>
        </CaseJudicialPersonPresentationDS>
        <CasePartyID>247013388</CasePartyID>
        <PartyTypeID>1</PartyTypeID>
        <ActivityStatusID>1</ActivityStatusID>
        <PartyAliasID>5</PartyAliasID>
        <PartyAliasName>מערער</PartyAliasName>
        <OrdinalNumber>1</OrdinalNumber>
        <LegalEntityID>519352</LegalEntityID>
        <CaseLegalEntityID>121680171</CaseLegalEntityID>
        <AuthenticationTypeID>1</AuthenticationTypeID>
        <AuthenticationTypeName>ת"ז</AuthenticationTypeName>
        <LegalEntityNumber>051093193</LegalEntityNumber>
        <IsMainPartyType>true</IsMainPartyType>
        <CaseDisplayIdentifier>41825-10-22</CaseDisplayIdentifier>
        <CaseTypeID>63</CaseTypeID>
        <CaseTypeName>ערעור משפחה (עמ"ש)</CaseTypeName>
        <CaseName>שאולי נ' ארנברג ואח'</CaseName>
        <FullAddress>סוקולוב 24 חולון </FullAddress>
        <MotionID>0</MotionID>
        <CasePleaID>0</CasePleaID>
        <FatherName xml:space="preserve">        </FatherName>
        <LinkedCaseID>0</LinkedCaseID>
        <PartyID>1</PartyID>
        <CasePartyCategoryID>2</CasePartyCategoryID>
        <LegalEntityAddressID>83243146</LegalEntityAddressID>
        <FictitiousPoliceNumber/>
        <PleaTypeID>6</PleaTypeID>
        <GroupPartyAlias>מערערים</GroupPartyAlias>
        <IsConverted>false</IsConverted>
        <LegalEntityRegisteredNameID>2089259</LegalEntityRegisteredNameID>
        <LegalEntityNameID>88668103</LegalEntityNameID>
        <RepresentatedNamesOfAssistant/>
        <LegalEntityTypeID>1</LegalEntityTypeID>
        <IsVerdictExists>false</IsVerdictExists>
        <IsAsirAzir>false</IsAsirAzir>
        <IsPublicationProhibited>false</IsPublicationProhibited>
        <PublicationProhibitedFullName>שמעון שאולי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יהודית ארנברג</FullName>
        <FirstName>יהודית</FirstName>
        <LastName>ארנברג</LastName>
        <PartyPropertyName/>
        <AuthenticationTypeAndNumber>ת"ז 053329389</AuthenticationTypeAndNumber>
        <RepresentatedOrRepresentativesNames>בועז קראוס</RepresentatedOrRepresentativesNames>
        <RepresentatedOrRepresentativesCount>1</RepresentatedOrRepresentativesCount>
        <InvitedBy/>
        <CaseID>79688277</CaseID>
        <CaseJudicialPersonPresentationDS>
          <CaseJudicalPersonActive>
            <CaseID>79688277</CaseID>
            <JudicialPersonID>053515011@GOV.IL</JudicialPersonID>
            <JudicialPersonTypeID>1</JudicialPersonTypeID>
            <JudicialTypeID>3</JudicialTypeID>
            <IsChairman>true</IsChairman>
            <TreatmentStartDate>2023-12-06T11:44:19.903+02:00</TreatmentStartDate>
            <TreatmentFinishDate>9999-12-31T23:59:59.997+02:00</TreatmentFinishDate>
            <IdentificationCardNumber>053515011</IdentificationCardNumber>
            <DisplayName>שאול שוחט</DisplayName>
            <JudicialTypeName>הרכב שופטים</JudicialTypeName>
            <CaseJudicialGroupNumber>559126</CaseJudicialGroupNumber>
            <FirstName>שאול</FirstName>
            <LastName>שוחט</LastName>
            <JudicialPersonTitle>שופט</JudicialPersonTitle>
          </CaseJudicalPersonActive>
          <CaseJudicalPersonActive>
            <CaseID>79688277</CaseID>
            <JudicialPersonID>059644039@GOV.IL</JudicialPersonID>
            <JudicialPersonTypeID>1</JudicialPersonTypeID>
            <JudicialTypeID>3</JudicialTypeID>
            <IsChairman>false</IsChairman>
            <TreatmentStartDate>2023-12-06T11:44:19.903+02:00</TreatmentStartDate>
            <TreatmentFinishDate>9999-12-31T23:59:59.997+02:00</TreatmentFinishDate>
            <IdentificationCardNumber>059644039</IdentificationCardNumber>
            <DisplayName>נפתלי שילה</DisplayName>
            <JudicialTypeName>הרכב שופטים</JudicialTypeName>
            <CaseJudicialGroupNumber>559126</CaseJudicialGroupNumber>
            <FirstName>נפתלי</FirstName>
            <LastName>שילה</LastName>
            <JudicialPersonTitle>שופט</JudicialPersonTitle>
          </CaseJudicalPersonActive>
          <CaseJudicalPersonActive>
            <CaseID>79688277</CaseID>
            <JudicialPersonID>022383467@GOV.IL</JudicialPersonID>
            <JudicialPersonTypeID>1</JudicialPersonTypeID>
            <JudicialTypeID>3</JudicialTypeID>
            <IsChairman>false</IsChairman>
            <TreatmentStartDate>2023-12-06T11:44:19.903+02:00</TreatmentStartDate>
            <TreatmentFinishDate>9999-12-31T23:59:59.997+02:00</TreatmentFinishDate>
            <IdentificationCardNumber>022383467</IdentificationCardNumber>
            <DisplayName>סיגל רסלר-זכאי</DisplayName>
            <JudicialTypeName>הרכב שופטים</JudicialTypeName>
            <CaseJudicialGroupNumber>559126</CaseJudicialGroupNumber>
            <FirstName>סיגל</FirstName>
            <LastName>רסלר-זכאי</LastName>
            <JudicialPersonTitle>שופט</JudicialPersonTitle>
          </CaseJudicalPersonActive>
        </CaseJudicialPersonPresentationDS>
        <CasePartyID>247013389</CasePartyID>
        <PartyTypeID>1</PartyTypeID>
        <ActivityStatusID>1</ActivityStatusID>
        <PartyAliasID>4</PartyAliasID>
        <PartyAliasName>משיב</PartyAliasName>
        <OrdinalNumber>1</OrdinalNumber>
        <LegalEntityID>77544941</LegalEntityID>
        <CaseLegalEntityID>121680172</CaseLegalEntityID>
        <AuthenticationTypeID>1</AuthenticationTypeID>
        <AuthenticationTypeName>ת"ז</AuthenticationTypeName>
        <LegalEntityNumber>053329389</LegalEntityNumber>
        <IsMainPartyType>true</IsMainPartyType>
        <CaseDisplayIdentifier>41825-10-22</CaseDisplayIdentifier>
        <CaseTypeID>63</CaseTypeID>
        <CaseTypeName>ערעור משפחה (עמ"ש)</CaseTypeName>
        <CaseName>שאולי נ' ארנברג ואח'</CaseName>
        <FullAddress/>
        <MotionID>0</MotionID>
        <CasePleaID>0</CasePleaID>
        <FatherName>שאול</FatherName>
        <LinkedCaseID>0</LinkedCaseID>
        <PartyID>2</PartyID>
        <CasePartyCategoryID>2</CasePartyCategoryID>
        <PleaTypeID>6</PleaTypeID>
        <GroupPartyAlias>משיבים</GroupPartyAlias>
        <IsConverted>false</IsConverted>
        <LegalEntityNameID>93840437</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יהודית ארנברג</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בועז קראוס</FullName>
        <FirstName>בועז</FirstName>
        <LastName>קראוס</LastName>
        <PartyPropertyName/>
        <AuthenticationTypeAndNumber>מ.ר. 13348</AuthenticationTypeAndNumber>
        <RepresentatedOrRepresentativesNames>יהודית ארנברג, יפה ענבי</RepresentatedOrRepresentativesNames>
        <RepresentatedOrRepresentativesCount>2</RepresentatedOrRepresentativesCount>
        <InvitedBy/>
        <CaseID>79688277</CaseID>
        <CaseJudicialPersonPresentationDS>
          <CaseJudicalPersonActive>
            <CaseID>79688277</CaseID>
            <JudicialPersonID>053515011@GOV.IL</JudicialPersonID>
            <JudicialPersonTypeID>1</JudicialPersonTypeID>
            <JudicialTypeID>3</JudicialTypeID>
            <IsChairman>true</IsChairman>
            <TreatmentStartDate>2023-12-06T11:44:19.903+02:00</TreatmentStartDate>
            <TreatmentFinishDate>9999-12-31T23:59:59.997+02:00</TreatmentFinishDate>
            <IdentificationCardNumber>053515011</IdentificationCardNumber>
            <DisplayName>שאול שוחט</DisplayName>
            <JudicialTypeName>הרכב שופטים</JudicialTypeName>
            <CaseJudicialGroupNumber>559126</CaseJudicialGroupNumber>
            <FirstName>שאול</FirstName>
            <LastName>שוחט</LastName>
            <JudicialPersonTitle>שופט</JudicialPersonTitle>
          </CaseJudicalPersonActive>
          <CaseJudicalPersonActive>
            <CaseID>79688277</CaseID>
            <JudicialPersonID>059644039@GOV.IL</JudicialPersonID>
            <JudicialPersonTypeID>1</JudicialPersonTypeID>
            <JudicialTypeID>3</JudicialTypeID>
            <IsChairman>false</IsChairman>
            <TreatmentStartDate>2023-12-06T11:44:19.903+02:00</TreatmentStartDate>
            <TreatmentFinishDate>9999-12-31T23:59:59.997+02:00</TreatmentFinishDate>
            <IdentificationCardNumber>059644039</IdentificationCardNumber>
            <DisplayName>נפתלי שילה</DisplayName>
            <JudicialTypeName>הרכב שופטים</JudicialTypeName>
            <CaseJudicialGroupNumber>559126</CaseJudicialGroupNumber>
            <FirstName>נפתלי</FirstName>
            <LastName>שילה</LastName>
            <JudicialPersonTitle>שופט</JudicialPersonTitle>
          </CaseJudicalPersonActive>
          <CaseJudicalPersonActive>
            <CaseID>79688277</CaseID>
            <JudicialPersonID>022383467@GOV.IL</JudicialPersonID>
            <JudicialPersonTypeID>1</JudicialPersonTypeID>
            <JudicialTypeID>3</JudicialTypeID>
            <IsChairman>false</IsChairman>
            <TreatmentStartDate>2023-12-06T11:44:19.903+02:00</TreatmentStartDate>
            <TreatmentFinishDate>9999-12-31T23:59:59.997+02:00</TreatmentFinishDate>
            <IdentificationCardNumber>022383467</IdentificationCardNumber>
            <DisplayName>סיגל רסלר-זכאי</DisplayName>
            <JudicialTypeName>הרכב שופטים</JudicialTypeName>
            <CaseJudicialGroupNumber>559126</CaseJudicialGroupNumber>
            <FirstName>סיגל</FirstName>
            <LastName>רסלר-זכאי</LastName>
            <JudicialPersonTitle>שופט</JudicialPersonTitle>
          </CaseJudicalPersonActive>
        </CaseJudicialPersonPresentationDS>
        <CasePartyID>247013392</CasePartyID>
        <PartyTypeID>2</PartyTypeID>
        <ActivityStatusID>1</ActivityStatusID>
        <PartyAliasID>23</PartyAliasID>
        <PartyAliasName>בא כוח משיבים</PartyAliasName>
        <OrdinalNumber>1</OrdinalNumber>
        <LegalEntityID>382787</LegalEntityID>
        <CaseLegalEntityID>121680175</CaseLegalEntityID>
        <AuthenticationTypeID>4</AuthenticationTypeID>
        <AuthenticationTypeName>מ.ר.</AuthenticationTypeName>
        <LegalEntityNumber>13348</LegalEntityNumber>
        <IsMainPartyType>true</IsMainPartyType>
        <CaseDisplayIdentifier>41825-10-22</CaseDisplayIdentifier>
        <CaseTypeID>63</CaseTypeID>
        <CaseTypeName>ערעור משפחה (עמ"ש)</CaseTypeName>
        <CaseName>שאולי נ' ארנברג ואח'</CaseName>
        <FullAddress>ה' באייר 20 תל אביב -יפו </FullAddress>
        <MotionID>0</MotionID>
        <CasePleaID>0</CasePleaID>
        <FatherName xml:space="preserve">        </FatherName>
        <LinkedCaseID>0</LinkedCaseID>
        <PartyID>2</PartyID>
        <CasePartyCategoryID>2</CasePartyCategoryID>
        <LegalEntityAddressID>425769</LegalEntityAddressID>
        <PleaTypeID>6</PleaTypeID>
        <LawyerOfficeName>משרד עו"ד: בועז קראוס</LawyerOfficeName>
        <LawyerOfficeID>423431</LawyerOfficeID>
        <GroupPartyAlias/>
        <IsConverted>false</IsConverted>
        <LegalEntityNameID>3771</LegalEntityNameID>
        <RepresentatedNamesOfAssistant/>
        <LegalEntityTypeID>4</LegalEntityTypeID>
        <IsVerdictExists>false</IsVerdictExists>
        <IsAsirAzir>false</IsAsirAzir>
        <IsPublicationProhibited>false</IsPublicationProhibited>
        <PublicationProhibitedFullName>בועז קראוס</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יפה ענבי</FullName>
        <FirstName>יפה</FirstName>
        <LastName>ענבי</LastName>
        <PartyPropertyName/>
        <AuthenticationTypeAndNumber>ת"ז 041601816</AuthenticationTypeAndNumber>
        <RepresentatedOrRepresentativesNames>בועז קראוס</RepresentatedOrRepresentativesNames>
        <RepresentatedOrRepresentativesCount>1</RepresentatedOrRepresentativesCount>
        <InvitedBy/>
        <CaseID>79688277</CaseID>
        <CaseJudicialPersonPresentationDS>
          <CaseJudicalPersonActive>
            <CaseID>79688277</CaseID>
            <JudicialPersonID>053515011@GOV.IL</JudicialPersonID>
            <JudicialPersonTypeID>1</JudicialPersonTypeID>
            <JudicialTypeID>3</JudicialTypeID>
            <IsChairman>true</IsChairman>
            <TreatmentStartDate>2023-12-06T11:44:19.903+02:00</TreatmentStartDate>
            <TreatmentFinishDate>9999-12-31T23:59:59.997+02:00</TreatmentFinishDate>
            <IdentificationCardNumber>053515011</IdentificationCardNumber>
            <DisplayName>שאול שוחט</DisplayName>
            <JudicialTypeName>הרכב שופטים</JudicialTypeName>
            <CaseJudicialGroupNumber>559126</CaseJudicialGroupNumber>
            <FirstName>שאול</FirstName>
            <LastName>שוחט</LastName>
            <JudicialPersonTitle>שופט</JudicialPersonTitle>
          </CaseJudicalPersonActive>
          <CaseJudicalPersonActive>
            <CaseID>79688277</CaseID>
            <JudicialPersonID>059644039@GOV.IL</JudicialPersonID>
            <JudicialPersonTypeID>1</JudicialPersonTypeID>
            <JudicialTypeID>3</JudicialTypeID>
            <IsChairman>false</IsChairman>
            <TreatmentStartDate>2023-12-06T11:44:19.903+02:00</TreatmentStartDate>
            <TreatmentFinishDate>9999-12-31T23:59:59.997+02:00</TreatmentFinishDate>
            <IdentificationCardNumber>059644039</IdentificationCardNumber>
            <DisplayName>נפתלי שילה</DisplayName>
            <JudicialTypeName>הרכב שופטים</JudicialTypeName>
            <CaseJudicialGroupNumber>559126</CaseJudicialGroupNumber>
            <FirstName>נפתלי</FirstName>
            <LastName>שילה</LastName>
            <JudicialPersonTitle>שופט</JudicialPersonTitle>
          </CaseJudicalPersonActive>
          <CaseJudicalPersonActive>
            <CaseID>79688277</CaseID>
            <JudicialPersonID>022383467@GOV.IL</JudicialPersonID>
            <JudicialPersonTypeID>1</JudicialPersonTypeID>
            <JudicialTypeID>3</JudicialTypeID>
            <IsChairman>false</IsChairman>
            <TreatmentStartDate>2023-12-06T11:44:19.903+02:00</TreatmentStartDate>
            <TreatmentFinishDate>9999-12-31T23:59:59.997+02:00</TreatmentFinishDate>
            <IdentificationCardNumber>022383467</IdentificationCardNumber>
            <DisplayName>סיגל רסלר-זכאי</DisplayName>
            <JudicialTypeName>הרכב שופטים</JudicialTypeName>
            <CaseJudicialGroupNumber>559126</CaseJudicialGroupNumber>
            <FirstName>סיגל</FirstName>
            <LastName>רסלר-זכאי</LastName>
            <JudicialPersonTitle>שופט</JudicialPersonTitle>
          </CaseJudicalPersonActive>
        </CaseJudicialPersonPresentationDS>
        <CasePartyID>247013390</CasePartyID>
        <PartyTypeID>1</PartyTypeID>
        <ActivityStatusID>1</ActivityStatusID>
        <PartyAliasID>4</PartyAliasID>
        <PartyAliasName>משיב</PartyAliasName>
        <OrdinalNumber>2</OrdinalNumber>
        <LegalEntityID>77544942</LegalEntityID>
        <CaseLegalEntityID>121680173</CaseLegalEntityID>
        <AuthenticationTypeID>1</AuthenticationTypeID>
        <AuthenticationTypeName>ת"ז</AuthenticationTypeName>
        <LegalEntityNumber>041601816</LegalEntityNumber>
        <IsMainPartyType>true</IsMainPartyType>
        <CaseDisplayIdentifier>41825-10-22</CaseDisplayIdentifier>
        <CaseTypeID>63</CaseTypeID>
        <CaseTypeName>ערעור משפחה (עמ"ש)</CaseTypeName>
        <CaseName>שאולי נ' ארנברג ואח'</CaseName>
        <FullAddress/>
        <MotionID>0</MotionID>
        <CasePleaID>0</CasePleaID>
        <FatherName>שאול</FatherName>
        <LinkedCaseID>0</LinkedCaseID>
        <PartyID>2</PartyID>
        <CasePartyCategoryID>2</CasePartyCategoryID>
        <PleaTypeID>6</PleaTypeID>
        <GroupPartyAlias>משיבים</GroupPartyAlias>
        <IsConverted>false</IsConverted>
        <LegalEntityNameID>93840438</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יפה ענבי</PublicationProhibitedFullName>
      </CaseParties>
    </CasePartiesSelectionDS>
    <DecisionName>פסק דין  שניתנה ע"י  שאול שוחט</DecisionName>
    <CourtDisplayName>בית המשפט המחוזי בתל אביב -יפו</CourtDisplayName>
    <IsCaseJudgePanel>true</IsCaseJudgePanel>
    <DecisionSignatureDate>2023-12-06T11:46:54.1390877+02:00</DecisionSignatureDate>
    <OpenCaseDate>2022-10-25T13:29:00+03:00</OpenCaseDate>
    <CaseFeeSum>1119.000</CaseFeeSum>
    <ExternalCaseNumber>257985_3</ExternalCaseNumber>
    <DecisionTypeID>2</DecisionTypeID>
    <DecisionSignatureUserName>שאול שוחט</DecisionSignatureUserName>
    <DecisionSignatureDateHebrew>2023-12-06T11:46:54.1390877+02:00</DecisionSignatureDateHebrew>
    <DecisionWriterID>053515011@GOV.IL</DecisionWriterID>
    <CourtAddress>רח' ויצמן  1 היכל המשפט, תל אביב -יפו 64239</CourtAddress>
    <IsAutoTextInCaseExist>false</IsAutoTextInCaseExist>
    <DecisionSignatureRoleName>שופט</DecisionSignatureRoleName>
    <DecisionSignatureUserTitleName>שופט, סגן הנשיא</DecisionSignatureUserTitleName>
    <CaseName>שאולי נ' ארנברג ואח'</CaseName>
    <DecisionNumberInCase>13</DecisionNumberInCase>
  </dt_Decision>
  <dt_DecisionCase>
    <DecisionID>0</DecisionID>
    <CaseID>79688277</CaseID>
    <CaseJudicialPersonPresentationDS>
      <CaseJudicalPersonActive>
        <CaseID>79688277</CaseID>
        <JudicialPersonID>053515011@GOV.IL</JudicialPersonID>
        <JudicialPersonTypeID>1</JudicialPersonTypeID>
        <JudicialTypeID>3</JudicialTypeID>
        <IsChairman>true</IsChairman>
        <TreatmentStartDate>2023-12-06T11:44:19.903+02:00</TreatmentStartDate>
        <TreatmentFinishDate>9999-12-31T23:59:59.997+02:00</TreatmentFinishDate>
        <IdentificationCardNumber>053515011</IdentificationCardNumber>
        <DisplayName>שאול שוחט</DisplayName>
        <JudicialTypeName>הרכב שופטים</JudicialTypeName>
        <CaseJudicialGroupNumber>559126</CaseJudicialGroupNumber>
        <FirstName>שאול</FirstName>
        <LastName>שוחט</LastName>
        <JudicialPersonTitle>שופט</JudicialPersonTitle>
      </CaseJudicalPersonActive>
      <CaseJudicalPersonActive>
        <CaseID>79688277</CaseID>
        <JudicialPersonID>059644039@GOV.IL</JudicialPersonID>
        <JudicialPersonTypeID>1</JudicialPersonTypeID>
        <JudicialTypeID>3</JudicialTypeID>
        <IsChairman>false</IsChairman>
        <TreatmentStartDate>2023-12-06T11:44:19.903+02:00</TreatmentStartDate>
        <TreatmentFinishDate>9999-12-31T23:59:59.997+02:00</TreatmentFinishDate>
        <IdentificationCardNumber>059644039</IdentificationCardNumber>
        <DisplayName>נפתלי שילה</DisplayName>
        <JudicialTypeName>הרכב שופטים</JudicialTypeName>
        <CaseJudicialGroupNumber>559126</CaseJudicialGroupNumber>
        <FirstName>נפתלי</FirstName>
        <LastName>שילה</LastName>
        <JudicialPersonTitle>שופט</JudicialPersonTitle>
      </CaseJudicalPersonActive>
      <CaseJudicalPersonActive>
        <CaseID>79688277</CaseID>
        <JudicialPersonID>022383467@GOV.IL</JudicialPersonID>
        <JudicialPersonTypeID>1</JudicialPersonTypeID>
        <JudicialTypeID>3</JudicialTypeID>
        <IsChairman>false</IsChairman>
        <TreatmentStartDate>2023-12-06T11:44:19.903+02:00</TreatmentStartDate>
        <TreatmentFinishDate>9999-12-31T23:59:59.997+02:00</TreatmentFinishDate>
        <IdentificationCardNumber>022383467</IdentificationCardNumber>
        <DisplayName>סיגל רסלר-זכאי</DisplayName>
        <JudicialTypeName>הרכב שופטים</JudicialTypeName>
        <CaseJudicialGroupNumber>559126</CaseJudicialGroupNumber>
        <FirstName>סיגל</FirstName>
        <LastName>רסלר-זכאי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דניאל ארנסט</FullName>
        <FirstName>דניאל</FirstName>
        <LastName>ארנסט</LastName>
        <PartyPropertyName/>
        <AuthenticationTypeAndNumber>מ.ר. 10733</AuthenticationTypeAndNumber>
        <RepresentatedOrRepresentativesNames>שמעון שאולי</RepresentatedOrRepresentativesNames>
        <RepresentatedOrRepresentativesCount>1</RepresentatedOrRepresentativesCount>
        <InvitedBy/>
        <CaseID>79688277</CaseID>
        <CaseJudicialPersonPresentationDS>
          <CaseJudicalPersonActive>
            <CaseID>79688277</CaseID>
            <JudicialPersonID>053515011@GOV.IL</JudicialPersonID>
            <JudicialPersonTypeID>1</JudicialPersonTypeID>
            <JudicialTypeID>3</JudicialTypeID>
            <IsChairman>true</IsChairman>
            <TreatmentStartDate>2023-12-06T11:44:19.903+02:00</TreatmentStartDate>
            <TreatmentFinishDate>9999-12-31T23:59:59.997+02:00</TreatmentFinishDate>
            <IdentificationCardNumber>053515011</IdentificationCardNumber>
            <DisplayName>שאול שוחט</DisplayName>
            <JudicialTypeName>הרכב שופטים</JudicialTypeName>
            <CaseJudicialGroupNumber>559126</CaseJudicialGroupNumber>
            <FirstName>שאול</FirstName>
            <LastName>שוחט</LastName>
            <JudicialPersonTitle>שופט</JudicialPersonTitle>
          </CaseJudicalPersonActive>
          <CaseJudicalPersonActive>
            <CaseID>79688277</CaseID>
            <JudicialPersonID>059644039@GOV.IL</JudicialPersonID>
            <JudicialPersonTypeID>1</JudicialPersonTypeID>
            <JudicialTypeID>3</JudicialTypeID>
            <IsChairman>false</IsChairman>
            <TreatmentStartDate>2023-12-06T11:44:19.903+02:00</TreatmentStartDate>
            <TreatmentFinishDate>9999-12-31T23:59:59.997+02:00</TreatmentFinishDate>
            <IdentificationCardNumber>059644039</IdentificationCardNumber>
            <DisplayName>נפתלי שילה</DisplayName>
            <JudicialTypeName>הרכב שופטים</JudicialTypeName>
            <CaseJudicialGroupNumber>559126</CaseJudicialGroupNumber>
            <FirstName>נפתלי</FirstName>
            <LastName>שילה</LastName>
            <JudicialPersonTitle>שופט</JudicialPersonTitle>
          </CaseJudicalPersonActive>
          <CaseJudicalPersonActive>
            <CaseID>79688277</CaseID>
            <JudicialPersonID>022383467@GOV.IL</JudicialPersonID>
            <JudicialPersonTypeID>1</JudicialPersonTypeID>
            <JudicialTypeID>3</JudicialTypeID>
            <IsChairman>false</IsChairman>
            <TreatmentStartDate>2023-12-06T11:44:19.903+02:00</TreatmentStartDate>
            <TreatmentFinishDate>9999-12-31T23:59:59.997+02:00</TreatmentFinishDate>
            <IdentificationCardNumber>022383467</IdentificationCardNumber>
            <DisplayName>סיגל רסלר-זכאי</DisplayName>
            <JudicialTypeName>הרכב שופטים</JudicialTypeName>
            <CaseJudicialGroupNumber>559126</CaseJudicialGroupNumber>
            <FirstName>סיגל</FirstName>
            <LastName>רסלר-זכאי</LastName>
            <JudicialPersonTitle>שופט</JudicialPersonTitle>
          </CaseJudicalPersonActive>
        </CaseJudicialPersonPresentationDS>
        <CasePartyID>247015035</CasePartyID>
        <PartyTypeID>2</PartyTypeID>
        <ActivityStatusID>1</ActivityStatusID>
        <PartyAliasID>24</PartyAliasID>
        <PartyAliasName>בא כוח מערערים</PartyAliasName>
        <LegalEntityID>394644</LegalEntityID>
        <CaseLegalEntityID>121680574</CaseLegalEntityID>
        <AuthenticationTypeID>4</AuthenticationTypeID>
        <AuthenticationTypeName>מ.ר.</AuthenticationTypeName>
        <LegalEntityNumber>10733</LegalEntityNumber>
        <IsMainPartyType>true</IsMainPartyType>
        <CaseDisplayIdentifier>41825-10-22</CaseDisplayIdentifier>
        <CaseTypeID>63</CaseTypeID>
        <CaseTypeName>ערעור משפחה (עמ"ש)</CaseTypeName>
        <CaseName>שאולי נ' ארנברג ואח'</CaseName>
        <FullAddress>ויצמן 4 תל אביב -יפו בית אסיה</FullAddress>
        <EmailAddress>dani@daniernst.com</EmailAddress>
        <MotionID>0</MotionID>
        <CasePleaID>0</CasePleaID>
        <FatherName xml:space="preserve">        </FatherName>
        <LinkedCaseID>0</LinkedCaseID>
        <PartyID>1</PartyID>
        <CasePartyCategoryID>2</CasePartyCategoryID>
        <LegalEntityAddressID>80009345</LegalEntityAddressID>
        <LegalEntityEmailAddressID>67930058</LegalEntityEmailAddressID>
        <PleaTypeID>6</PleaTypeID>
        <LawyerOfficeName>דניאל ארנסט </LawyerOfficeName>
        <LawyerOfficeID>419851</LawyerOfficeID>
        <GroupPartyAlias/>
        <IsConverted>false</IsConverted>
        <LegalEntityNameID>15628</LegalEntityNameID>
        <RepresentatedNamesOfAssistant/>
        <LegalEntityTypeID>4</LegalEntityTypeID>
        <IsVerdictExists>false</IsVerdictExists>
        <IsAsirAzir>false</IsAsirAzir>
        <IsPublicationProhibited>false</IsPublicationProhibited>
        <PublicationProhibitedFullName>דניאל ארנסט</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חיים שטרן</FullName>
        <FirstName>חיים</FirstName>
        <LastName>שטרן</LastName>
        <PartyPropertyName/>
        <AuthenticationTypeAndNumber>מ.ר. 11317</AuthenticationTypeAndNumber>
        <RepresentatedOrRepresentativesNames>שמעון שאולי</RepresentatedOrRepresentativesNames>
        <RepresentatedOrRepresentativesCount>1</RepresentatedOrRepresentativesCount>
        <InvitedBy/>
        <CaseID>79688277</CaseID>
        <CaseJudicialPersonPresentationDS>
          <CaseJudicalPersonActive>
            <CaseID>79688277</CaseID>
            <JudicialPersonID>053515011@GOV.IL</JudicialPersonID>
            <JudicialPersonTypeID>1</JudicialPersonTypeID>
            <JudicialTypeID>3</JudicialTypeID>
            <IsChairman>true</IsChairman>
            <TreatmentStartDate>2023-12-06T11:44:19.903+02:00</TreatmentStartDate>
            <TreatmentFinishDate>9999-12-31T23:59:59.997+02:00</TreatmentFinishDate>
            <IdentificationCardNumber>053515011</IdentificationCardNumber>
            <DisplayName>שאול שוחט</DisplayName>
            <JudicialTypeName>הרכב שופטים</JudicialTypeName>
            <CaseJudicialGroupNumber>559126</CaseJudicialGroupNumber>
            <FirstName>שאול</FirstName>
            <LastName>שוחט</LastName>
            <JudicialPersonTitle>שופט</JudicialPersonTitle>
          </CaseJudicalPersonActive>
          <CaseJudicalPersonActive>
            <CaseID>79688277</CaseID>
            <JudicialPersonID>059644039@GOV.IL</JudicialPersonID>
            <JudicialPersonTypeID>1</JudicialPersonTypeID>
            <JudicialTypeID>3</JudicialTypeID>
            <IsChairman>false</IsChairman>
            <TreatmentStartDate>2023-12-06T11:44:19.903+02:00</TreatmentStartDate>
            <TreatmentFinishDate>9999-12-31T23:59:59.997+02:00</TreatmentFinishDate>
            <IdentificationCardNumber>059644039</IdentificationCardNumber>
            <DisplayName>נפתלי שילה</DisplayName>
            <JudicialTypeName>הרכב שופטים</JudicialTypeName>
            <CaseJudicialGroupNumber>559126</CaseJudicialGroupNumber>
            <FirstName>נפתלי</FirstName>
            <LastName>שילה</LastName>
            <JudicialPersonTitle>שופט</JudicialPersonTitle>
          </CaseJudicalPersonActive>
          <CaseJudicalPersonActive>
            <CaseID>79688277</CaseID>
            <JudicialPersonID>022383467@GOV.IL</JudicialPersonID>
            <JudicialPersonTypeID>1</JudicialPersonTypeID>
            <JudicialTypeID>3</JudicialTypeID>
            <IsChairman>false</IsChairman>
            <TreatmentStartDate>2023-12-06T11:44:19.903+02:00</TreatmentStartDate>
            <TreatmentFinishDate>9999-12-31T23:59:59.997+02:00</TreatmentFinishDate>
            <IdentificationCardNumber>022383467</IdentificationCardNumber>
            <DisplayName>סיגל רסלר-זכאי</DisplayName>
            <JudicialTypeName>הרכב שופטים</JudicialTypeName>
            <CaseJudicialGroupNumber>559126</CaseJudicialGroupNumber>
            <FirstName>סיגל</FirstName>
            <LastName>רסלר-זכאי</LastName>
            <JudicialPersonTitle>שופט</JudicialPersonTitle>
          </CaseJudicalPersonActive>
        </CaseJudicialPersonPresentationDS>
        <CasePartyID>247013391</CasePartyID>
        <PartyTypeID>2</PartyTypeID>
        <ActivityStatusID>1</ActivityStatusID>
        <PartyAliasID>24</PartyAliasID>
        <PartyAliasName>בא כוח מערערים</PartyAliasName>
        <OrdinalNumber>1</OrdinalNumber>
        <LegalEntityID>385878</LegalEntityID>
        <CaseLegalEntityID>121680174</CaseLegalEntityID>
        <AuthenticationTypeID>4</AuthenticationTypeID>
        <AuthenticationTypeName>מ.ר.</AuthenticationTypeName>
        <LegalEntityNumber>11317</LegalEntityNumber>
        <IsMainPartyType>true</IsMainPartyType>
        <CaseDisplayIdentifier>41825-10-22</CaseDisplayIdentifier>
        <CaseTypeID>63</CaseTypeID>
        <CaseTypeName>ערעור משפחה (עמ"ש)</CaseTypeName>
        <CaseName>שאולי נ' ארנברג ואח'</CaseName>
        <FullAddress>לינקולן 20 תל אביב -יפו בית רובינשטיין</FullAddress>
        <MotionID>0</MotionID>
        <CasePleaID>0</CasePleaID>
        <LinkedCaseID>0</LinkedCaseID>
        <PartyID>1</PartyID>
        <CasePartyCategoryID>2</CasePartyCategoryID>
        <LegalEntityAddressID>438473</LegalEntityAddressID>
        <PleaTypeID>6</PleaTypeID>
        <LawyerOfficeName>משרד עו"ד: כרמית בר-און -יהודה רוה ושות'</LawyerOfficeName>
        <LawyerOfficeID>436135</LawyerOfficeID>
        <GroupPartyAlias/>
        <IsConverted>false</IsConverted>
        <LegalEntityNameID>6862</LegalEntityNameID>
        <RepresentatedNamesOfAssistant/>
        <LegalEntityTypeID>4</LegalEntityTypeID>
        <IsVerdictExists>false</IsVerdictExists>
        <IsAsirAzir>false</IsAsirAzir>
        <IsPublicationProhibited>false</IsPublicationProhibited>
        <PublicationProhibitedFullName>חיים שטרן</PublicationProhibitedFullName>
      </CaseParties>
      <CaseParties>
        <PartyTypeName>צד</PartyTypeName>
        <ProceedingType>כתב טענות עיקרי</ProceedingType>
        <PleaName>הודעת ערעור</PleaName>
        <PartyBelonging>צד א'</PartyBelonging>
        <RoleName>מערער 1 - תובע</RoleName>
        <IsSubProceeding>FALSE</IsSubProceeding>
        <FullName>שמעון שאולי</FullName>
        <FirstName>שמעון</FirstName>
        <LastName>שאולי</LastName>
        <PartyPropertyName/>
        <AuthenticationTypeAndNumber>ת"ז 051093193</AuthenticationTypeAndNumber>
        <RepresentatedOrRepresentativesNames>דניאל ארנסט, חיים שטרן</RepresentatedOrRepresentativesNames>
        <RepresentatedOrRepresentativesCount>2</RepresentatedOrRepresentativesCount>
        <InvitedBy/>
        <CaseID>79688277</CaseID>
        <CaseJudicialPersonPresentationDS>
          <CaseJudicalPersonActive>
            <CaseID>79688277</CaseID>
            <JudicialPersonID>053515011@GOV.IL</JudicialPersonID>
            <JudicialPersonTypeID>1</JudicialPersonTypeID>
            <JudicialTypeID>3</JudicialTypeID>
            <IsChairman>true</IsChairman>
            <TreatmentStartDate>2023-12-06T11:44:19.903+02:00</TreatmentStartDate>
            <TreatmentFinishDate>9999-12-31T23:59:59.997+02:00</TreatmentFinishDate>
            <IdentificationCardNumber>053515011</IdentificationCardNumber>
            <DisplayName>שאול שוחט</DisplayName>
            <JudicialTypeName>הרכב שופטים</JudicialTypeName>
            <CaseJudicialGroupNumber>559126</CaseJudicialGroupNumber>
            <FirstName>שאול</FirstName>
            <LastName>שוחט</LastName>
            <JudicialPersonTitle>שופט</JudicialPersonTitle>
          </CaseJudicalPersonActive>
          <CaseJudicalPersonActive>
            <CaseID>79688277</CaseID>
            <JudicialPersonID>059644039@GOV.IL</JudicialPersonID>
            <JudicialPersonTypeID>1</JudicialPersonTypeID>
            <JudicialTypeID>3</JudicialTypeID>
            <IsChairman>false</IsChairman>
            <TreatmentStartDate>2023-12-06T11:44:19.903+02:00</TreatmentStartDate>
            <TreatmentFinishDate>9999-12-31T23:59:59.997+02:00</TreatmentFinishDate>
            <IdentificationCardNumber>059644039</IdentificationCardNumber>
            <DisplayName>נפתלי שילה</DisplayName>
            <JudicialTypeName>הרכב שופטים</JudicialTypeName>
            <CaseJudicialGroupNumber>559126</CaseJudicialGroupNumber>
            <FirstName>נפתלי</FirstName>
            <LastName>שילה</LastName>
            <JudicialPersonTitle>שופט</JudicialPersonTitle>
          </CaseJudicalPersonActive>
          <CaseJudicalPersonActive>
            <CaseID>79688277</CaseID>
            <JudicialPersonID>022383467@GOV.IL</JudicialPersonID>
            <JudicialPersonTypeID>1</JudicialPersonTypeID>
            <JudicialTypeID>3</JudicialTypeID>
            <IsChairman>false</IsChairman>
            <TreatmentStartDate>2023-12-06T11:44:19.903+02:00</TreatmentStartDate>
            <TreatmentFinishDate>9999-12-31T23:59:59.997+02:00</TreatmentFinishDate>
            <IdentificationCardNumber>022383467</IdentificationCardNumber>
            <DisplayName>סיגל רסלר-זכאי</DisplayName>
            <JudicialTypeName>הרכב שופטים</JudicialTypeName>
            <CaseJudicialGroupNumber>559126</CaseJudicialGroupNumber>
            <FirstName>סיגל</FirstName>
            <LastName>רסלר-זכאי</LastName>
            <JudicialPersonTitle>שופט</JudicialPersonTitle>
          </CaseJudicalPersonActive>
        </CaseJudicialPersonPresentationDS>
        <CasePartyID>247013388</CasePartyID>
        <PartyTypeID>1</PartyTypeID>
        <ActivityStatusID>1</ActivityStatusID>
        <PartyAliasID>5</PartyAliasID>
        <PartyAliasName>מערער</PartyAliasName>
        <OrdinalNumber>1</OrdinalNumber>
        <LegalEntityID>519352</LegalEntityID>
        <CaseLegalEntityID>121680171</CaseLegalEntityID>
        <AuthenticationTypeID>1</AuthenticationTypeID>
        <AuthenticationTypeName>ת"ז</AuthenticationTypeName>
        <LegalEntityNumber>051093193</LegalEntityNumber>
        <IsMainPartyType>true</IsMainPartyType>
        <CaseDisplayIdentifier>41825-10-22</CaseDisplayIdentifier>
        <CaseTypeID>63</CaseTypeID>
        <CaseTypeName>ערעור משפחה (עמ"ש)</CaseTypeName>
        <CaseName>שאולי נ' ארנברג ואח'</CaseName>
        <FullAddress>סוקולוב 24 חולון </FullAddress>
        <MotionID>0</MotionID>
        <CasePleaID>0</CasePleaID>
        <FatherName xml:space="preserve">        </FatherName>
        <LinkedCaseID>0</LinkedCaseID>
        <PartyID>1</PartyID>
        <CasePartyCategoryID>2</CasePartyCategoryID>
        <LegalEntityAddressID>83243146</LegalEntityAddressID>
        <FictitiousPoliceNumber/>
        <PleaTypeID>6</PleaTypeID>
        <GroupPartyAlias>מערערים</GroupPartyAlias>
        <IsConverted>false</IsConverted>
        <LegalEntityRegisteredNameID>2089259</LegalEntityRegisteredNameID>
        <LegalEntityNameID>88668103</LegalEntityNameID>
        <RepresentatedNamesOfAssistant/>
        <LegalEntityTypeID>1</LegalEntityTypeID>
        <IsVerdictExists>false</IsVerdictExists>
        <IsAsirAzir>false</IsAsirAzir>
        <IsPublicationProhibited>false</IsPublicationProhibited>
        <PublicationProhibitedFullName>שמעון שאולי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יהודית ארנברג</FullName>
        <FirstName>יהודית</FirstName>
        <LastName>ארנברג</LastName>
        <PartyPropertyName/>
        <AuthenticationTypeAndNumber>ת"ז 053329389</AuthenticationTypeAndNumber>
        <RepresentatedOrRepresentativesNames>בועז קראוס</RepresentatedOrRepresentativesNames>
        <RepresentatedOrRepresentativesCount>1</RepresentatedOrRepresentativesCount>
        <InvitedBy/>
        <CaseID>79688277</CaseID>
        <CaseJudicialPersonPresentationDS>
          <CaseJudicalPersonActive>
            <CaseID>79688277</CaseID>
            <JudicialPersonID>053515011@GOV.IL</JudicialPersonID>
            <JudicialPersonTypeID>1</JudicialPersonTypeID>
            <JudicialTypeID>3</JudicialTypeID>
            <IsChairman>true</IsChairman>
            <TreatmentStartDate>2023-12-06T11:44:19.903+02:00</TreatmentStartDate>
            <TreatmentFinishDate>9999-12-31T23:59:59.997+02:00</TreatmentFinishDate>
            <IdentificationCardNumber>053515011</IdentificationCardNumber>
            <DisplayName>שאול שוחט</DisplayName>
            <JudicialTypeName>הרכב שופטים</JudicialTypeName>
            <CaseJudicialGroupNumber>559126</CaseJudicialGroupNumber>
            <FirstName>שאול</FirstName>
            <LastName>שוחט</LastName>
            <JudicialPersonTitle>שופט</JudicialPersonTitle>
          </CaseJudicalPersonActive>
          <CaseJudicalPersonActive>
            <CaseID>79688277</CaseID>
            <JudicialPersonID>059644039@GOV.IL</JudicialPersonID>
            <JudicialPersonTypeID>1</JudicialPersonTypeID>
            <JudicialTypeID>3</JudicialTypeID>
            <IsChairman>false</IsChairman>
            <TreatmentStartDate>2023-12-06T11:44:19.903+02:00</TreatmentStartDate>
            <TreatmentFinishDate>9999-12-31T23:59:59.997+02:00</TreatmentFinishDate>
            <IdentificationCardNumber>059644039</IdentificationCardNumber>
            <DisplayName>נפתלי שילה</DisplayName>
            <JudicialTypeName>הרכב שופטים</JudicialTypeName>
            <CaseJudicialGroupNumber>559126</CaseJudicialGroupNumber>
            <FirstName>נפתלי</FirstName>
            <LastName>שילה</LastName>
            <JudicialPersonTitle>שופט</JudicialPersonTitle>
          </CaseJudicalPersonActive>
          <CaseJudicalPersonActive>
            <CaseID>79688277</CaseID>
            <JudicialPersonID>022383467@GOV.IL</JudicialPersonID>
            <JudicialPersonTypeID>1</JudicialPersonTypeID>
            <JudicialTypeID>3</JudicialTypeID>
            <IsChairman>false</IsChairman>
            <TreatmentStartDate>2023-12-06T11:44:19.903+02:00</TreatmentStartDate>
            <TreatmentFinishDate>9999-12-31T23:59:59.997+02:00</TreatmentFinishDate>
            <IdentificationCardNumber>022383467</IdentificationCardNumber>
            <DisplayName>סיגל רסלר-זכאי</DisplayName>
            <JudicialTypeName>הרכב שופטים</JudicialTypeName>
            <CaseJudicialGroupNumber>559126</CaseJudicialGroupNumber>
            <FirstName>סיגל</FirstName>
            <LastName>רסלר-זכאי</LastName>
            <JudicialPersonTitle>שופט</JudicialPersonTitle>
          </CaseJudicalPersonActive>
        </CaseJudicialPersonPresentationDS>
        <CasePartyID>247013389</CasePartyID>
        <PartyTypeID>1</PartyTypeID>
        <ActivityStatusID>1</ActivityStatusID>
        <PartyAliasID>4</PartyAliasID>
        <PartyAliasName>משיב</PartyAliasName>
        <OrdinalNumber>1</OrdinalNumber>
        <LegalEntityID>77544941</LegalEntityID>
        <CaseLegalEntityID>121680172</CaseLegalEntityID>
        <AuthenticationTypeID>1</AuthenticationTypeID>
        <AuthenticationTypeName>ת"ז</AuthenticationTypeName>
        <LegalEntityNumber>053329389</LegalEntityNumber>
        <IsMainPartyType>true</IsMainPartyType>
        <CaseDisplayIdentifier>41825-10-22</CaseDisplayIdentifier>
        <CaseTypeID>63</CaseTypeID>
        <CaseTypeName>ערעור משפחה (עמ"ש)</CaseTypeName>
        <CaseName>שאולי נ' ארנברג ואח'</CaseName>
        <FullAddress/>
        <MotionID>0</MotionID>
        <CasePleaID>0</CasePleaID>
        <FatherName>שאול</FatherName>
        <LinkedCaseID>0</LinkedCaseID>
        <PartyID>2</PartyID>
        <CasePartyCategoryID>2</CasePartyCategoryID>
        <PleaTypeID>6</PleaTypeID>
        <GroupPartyAlias>משיבים</GroupPartyAlias>
        <IsConverted>false</IsConverted>
        <LegalEntityNameID>93840437</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יהודית ארנברג</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בועז קראוס</FullName>
        <FirstName>בועז</FirstName>
        <LastName>קראוס</LastName>
        <PartyPropertyName/>
        <AuthenticationTypeAndNumber>מ.ר. 13348</AuthenticationTypeAndNumber>
        <RepresentatedOrRepresentativesNames>יהודית ארנברג, יפה ענבי</RepresentatedOrRepresentativesNames>
        <RepresentatedOrRepresentativesCount>2</RepresentatedOrRepresentativesCount>
        <InvitedBy/>
        <CaseID>79688277</CaseID>
        <CaseJudicialPersonPresentationDS>
          <CaseJudicalPersonActive>
            <CaseID>79688277</CaseID>
            <JudicialPersonID>053515011@GOV.IL</JudicialPersonID>
            <JudicialPersonTypeID>1</JudicialPersonTypeID>
            <JudicialTypeID>3</JudicialTypeID>
            <IsChairman>true</IsChairman>
            <TreatmentStartDate>2023-12-06T11:44:19.903+02:00</TreatmentStartDate>
            <TreatmentFinishDate>9999-12-31T23:59:59.997+02:00</TreatmentFinishDate>
            <IdentificationCardNumber>053515011</IdentificationCardNumber>
            <DisplayName>שאול שוחט</DisplayName>
            <JudicialTypeName>הרכב שופטים</JudicialTypeName>
            <CaseJudicialGroupNumber>559126</CaseJudicialGroupNumber>
            <FirstName>שאול</FirstName>
            <LastName>שוחט</LastName>
            <JudicialPersonTitle>שופט</JudicialPersonTitle>
          </CaseJudicalPersonActive>
          <CaseJudicalPersonActive>
            <CaseID>79688277</CaseID>
            <JudicialPersonID>059644039@GOV.IL</JudicialPersonID>
            <JudicialPersonTypeID>1</JudicialPersonTypeID>
            <JudicialTypeID>3</JudicialTypeID>
            <IsChairman>false</IsChairman>
            <TreatmentStartDate>2023-12-06T11:44:19.903+02:00</TreatmentStartDate>
            <TreatmentFinishDate>9999-12-31T23:59:59.997+02:00</TreatmentFinishDate>
            <IdentificationCardNumber>059644039</IdentificationCardNumber>
            <DisplayName>נפתלי שילה</DisplayName>
            <JudicialTypeName>הרכב שופטים</JudicialTypeName>
            <CaseJudicialGroupNumber>559126</CaseJudicialGroupNumber>
            <FirstName>נפתלי</FirstName>
            <LastName>שילה</LastName>
            <JudicialPersonTitle>שופט</JudicialPersonTitle>
          </CaseJudicalPersonActive>
          <CaseJudicalPersonActive>
            <CaseID>79688277</CaseID>
            <JudicialPersonID>022383467@GOV.IL</JudicialPersonID>
            <JudicialPersonTypeID>1</JudicialPersonTypeID>
            <JudicialTypeID>3</JudicialTypeID>
            <IsChairman>false</IsChairman>
            <TreatmentStartDate>2023-12-06T11:44:19.903+02:00</TreatmentStartDate>
            <TreatmentFinishDate>9999-12-31T23:59:59.997+02:00</TreatmentFinishDate>
            <IdentificationCardNumber>022383467</IdentificationCardNumber>
            <DisplayName>סיגל רסלר-זכאי</DisplayName>
            <JudicialTypeName>הרכב שופטים</JudicialTypeName>
            <CaseJudicialGroupNumber>559126</CaseJudicialGroupNumber>
            <FirstName>סיגל</FirstName>
            <LastName>רסלר-זכאי</LastName>
            <JudicialPersonTitle>שופט</JudicialPersonTitle>
          </CaseJudicalPersonActive>
        </CaseJudicialPersonPresentationDS>
        <CasePartyID>247013392</CasePartyID>
        <PartyTypeID>2</PartyTypeID>
        <ActivityStatusID>1</ActivityStatusID>
        <PartyAliasID>23</PartyAliasID>
        <PartyAliasName>בא כוח משיבים</PartyAliasName>
        <OrdinalNumber>1</OrdinalNumber>
        <LegalEntityID>382787</LegalEntityID>
        <CaseLegalEntityID>121680175</CaseLegalEntityID>
        <AuthenticationTypeID>4</AuthenticationTypeID>
        <AuthenticationTypeName>מ.ר.</AuthenticationTypeName>
        <LegalEntityNumber>13348</LegalEntityNumber>
        <IsMainPartyType>true</IsMainPartyType>
        <CaseDisplayIdentifier>41825-10-22</CaseDisplayIdentifier>
        <CaseTypeID>63</CaseTypeID>
        <CaseTypeName>ערעור משפחה (עמ"ש)</CaseTypeName>
        <CaseName>שאולי נ' ארנברג ואח'</CaseName>
        <FullAddress>ה' באייר 20 תל אביב -יפו </FullAddress>
        <MotionID>0</MotionID>
        <CasePleaID>0</CasePleaID>
        <FatherName xml:space="preserve">        </FatherName>
        <LinkedCaseID>0</LinkedCaseID>
        <PartyID>2</PartyID>
        <CasePartyCategoryID>2</CasePartyCategoryID>
        <LegalEntityAddressID>425769</LegalEntityAddressID>
        <PleaTypeID>6</PleaTypeID>
        <LawyerOfficeName>משרד עו"ד: בועז קראוס</LawyerOfficeName>
        <LawyerOfficeID>423431</LawyerOfficeID>
        <GroupPartyAlias/>
        <IsConverted>false</IsConverted>
        <LegalEntityNameID>3771</LegalEntityNameID>
        <RepresentatedNamesOfAssistant/>
        <LegalEntityTypeID>4</LegalEntityTypeID>
        <IsVerdictExists>false</IsVerdictExists>
        <IsAsirAzir>false</IsAsirAzir>
        <IsPublicationProhibited>false</IsPublicationProhibited>
        <PublicationProhibitedFullName>בועז קראוס</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יפה ענבי</FullName>
        <FirstName>יפה</FirstName>
        <LastName>ענבי</LastName>
        <PartyPropertyName/>
        <AuthenticationTypeAndNumber>ת"ז 041601816</AuthenticationTypeAndNumber>
        <RepresentatedOrRepresentativesNames>בועז קראוס</RepresentatedOrRepresentativesNames>
        <RepresentatedOrRepresentativesCount>1</RepresentatedOrRepresentativesCount>
        <InvitedBy/>
        <CaseID>79688277</CaseID>
        <CaseJudicialPersonPresentationDS>
          <CaseJudicalPersonActive>
            <CaseID>79688277</CaseID>
            <JudicialPersonID>053515011@GOV.IL</JudicialPersonID>
            <JudicialPersonTypeID>1</JudicialPersonTypeID>
            <JudicialTypeID>3</JudicialTypeID>
            <IsChairman>true</IsChairman>
            <TreatmentStartDate>2023-12-06T11:44:19.903+02:00</TreatmentStartDate>
            <TreatmentFinishDate>9999-12-31T23:59:59.997+02:00</TreatmentFinishDate>
            <IdentificationCardNumber>053515011</IdentificationCardNumber>
            <DisplayName>שאול שוחט</DisplayName>
            <JudicialTypeName>הרכב שופטים</JudicialTypeName>
            <CaseJudicialGroupNumber>559126</CaseJudicialGroupNumber>
            <FirstName>שאול</FirstName>
            <LastName>שוחט</LastName>
            <JudicialPersonTitle>שופט</JudicialPersonTitle>
          </CaseJudicalPersonActive>
          <CaseJudicalPersonActive>
            <CaseID>79688277</CaseID>
            <JudicialPersonID>059644039@GOV.IL</JudicialPersonID>
            <JudicialPersonTypeID>1</JudicialPersonTypeID>
            <JudicialTypeID>3</JudicialTypeID>
            <IsChairman>false</IsChairman>
            <TreatmentStartDate>2023-12-06T11:44:19.903+02:00</TreatmentStartDate>
            <TreatmentFinishDate>9999-12-31T23:59:59.997+02:00</TreatmentFinishDate>
            <IdentificationCardNumber>059644039</IdentificationCardNumber>
            <DisplayName>נפתלי שילה</DisplayName>
            <JudicialTypeName>הרכב שופטים</JudicialTypeName>
            <CaseJudicialGroupNumber>559126</CaseJudicialGroupNumber>
            <FirstName>נפתלי</FirstName>
            <LastName>שילה</LastName>
            <JudicialPersonTitle>שופט</JudicialPersonTitle>
          </CaseJudicalPersonActive>
          <CaseJudicalPersonActive>
            <CaseID>79688277</CaseID>
            <JudicialPersonID>022383467@GOV.IL</JudicialPersonID>
            <JudicialPersonTypeID>1</JudicialPersonTypeID>
            <JudicialTypeID>3</JudicialTypeID>
            <IsChairman>false</IsChairman>
            <TreatmentStartDate>2023-12-06T11:44:19.903+02:00</TreatmentStartDate>
            <TreatmentFinishDate>9999-12-31T23:59:59.997+02:00</TreatmentFinishDate>
            <IdentificationCardNumber>022383467</IdentificationCardNumber>
            <DisplayName>סיגל רסלר-זכאי</DisplayName>
            <JudicialTypeName>הרכב שופטים</JudicialTypeName>
            <CaseJudicialGroupNumber>559126</CaseJudicialGroupNumber>
            <FirstName>סיגל</FirstName>
            <LastName>רסלר-זכאי</LastName>
            <JudicialPersonTitle>שופט</JudicialPersonTitle>
          </CaseJudicalPersonActive>
        </CaseJudicialPersonPresentationDS>
        <CasePartyID>247013390</CasePartyID>
        <PartyTypeID>1</PartyTypeID>
        <ActivityStatusID>1</ActivityStatusID>
        <PartyAliasID>4</PartyAliasID>
        <PartyAliasName>משיב</PartyAliasName>
        <OrdinalNumber>2</OrdinalNumber>
        <LegalEntityID>77544942</LegalEntityID>
        <CaseLegalEntityID>121680173</CaseLegalEntityID>
        <AuthenticationTypeID>1</AuthenticationTypeID>
        <AuthenticationTypeName>ת"ז</AuthenticationTypeName>
        <LegalEntityNumber>041601816</LegalEntityNumber>
        <IsMainPartyType>true</IsMainPartyType>
        <CaseDisplayIdentifier>41825-10-22</CaseDisplayIdentifier>
        <CaseTypeID>63</CaseTypeID>
        <CaseTypeName>ערעור משפחה (עמ"ש)</CaseTypeName>
        <CaseName>שאולי נ' ארנברג ואח'</CaseName>
        <FullAddress/>
        <MotionID>0</MotionID>
        <CasePleaID>0</CasePleaID>
        <FatherName>שאול</FatherName>
        <LinkedCaseID>0</LinkedCaseID>
        <PartyID>2</PartyID>
        <CasePartyCategoryID>2</CasePartyCategoryID>
        <PleaTypeID>6</PleaTypeID>
        <GroupPartyAlias>משיבים</GroupPartyAlias>
        <IsConverted>false</IsConverted>
        <LegalEntityNameID>93840438</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יפה ענבי</PublicationProhibitedFullName>
      </CaseParties>
    </CasePartiesSelectionDS>
    <CaseName>שאולי נ' ארנברג ואח'</CaseName>
    <CaseDisplayIdentifier>41825-10-22</CaseDisplayIdentifier>
    <CaseInterestID>10336</CaseInterestID>
    <CaseTypeShortName>עמ"ש</CaseTypeShortName>
  </dt_DecisionCase>
  <dt_DecisionJudgePanel>
    <JudgeID>053515011@GOV.IL</JudgeID>
    <DisplayName>שוחט</DisplayName>
    <RoleName>שופט</RoleName>
    <UserTitleName>שופט, סגן הנשיא</UserTitleName>
  </dt_DecisionJudgePanel>
  <dt_DecisionJudgePanel>
    <JudgeID>059644039@GOV.IL</JudgeID>
    <DisplayName>שילה</DisplayName>
    <RoleName>שופט</RoleName>
    <UserTitleName>שופט</UserTitleName>
  </dt_DecisionJudgePanel>
  <dt_DecisionJudgePanel>
    <JudgeID>022383467@GOV.IL</JudgeID>
    <DisplayName>רסלר-זכאי</DisplayName>
    <RoleName>שופט</RoleName>
    <UserTitleName>שופטת</UserTitleName>
  </dt_DecisionJudgePanel>
  <dt_LegalEntityDetails>
    <Fax>073-2254915</Fax>
    <Phone>03-6541311</Phone>
    <AddressDesc>בית אסיה</AddressDesc>
    <PartyID>1</PartyID>
    <PartyTypeID>2</PartyTypeID>
    <DecisionID>0</DecisionID>
    <StreetName>ויצמן 4</StreetName>
    <CityName>תל אביב -יפו</CityName>
    <FullName>דניאל ארנסט</FullName>
    <Email>dani@daniernst.com</Email>
    <IsPublicationProhibited>false</IsPublicationProhibited>
  </dt_LegalEntityDetails>
  <dt_LegalEntityDetails>
    <PartyID>1</PartyID>
    <PartyTypeID>1</PartyTypeID>
    <DecisionID>0</DecisionID>
    <StreetName>סוקולוב 24</StreetName>
    <CityName>חולון</CityName>
    <FullName>שמעון שאולי</FullName>
    <IsPublicationProhibited>false</IsPublicationProhibited>
  </dt_LegalEntityDetails>
  <dt_LegalEntityDetails>
    <PartyID>2</PartyID>
    <PartyTypeID>1</PartyTypeID>
    <DecisionID>0</DecisionID>
    <FullName>יהודית ארנברג</FullName>
    <IsPublicationProhibited>false</IsPublicationProhibited>
  </dt_LegalEntityDetails>
  <dt_LegalEntityDetails>
    <Fax>03-5618558</Fax>
    <Phone>03-5620303</Phone>
    <AddressDesc>בית רובינשטיין</AddressDesc>
    <PartyID>1</PartyID>
    <PartyTypeID>2</PartyTypeID>
    <DecisionID>0</DecisionID>
    <StreetName>לינקולן 20</StreetName>
    <ZipCode>67134</ZipCode>
    <CityName>תל אביב -יפו</CityName>
    <FullName>חיים שטרן</FullName>
    <Email>gilas@ravehtlv.co.il</Email>
    <IsPublicationProhibited>false</IsPublicationProhibited>
  </dt_LegalEntityDetails>
  <dt_LegalEntityDetails>
    <Fax>03-6912312</Fax>
    <Phone>03-6912307</Phone>
    <PartyID>2</PartyID>
    <PartyTypeID>2</PartyTypeID>
    <DecisionID>0</DecisionID>
    <StreetName>ה' באייר 20</StreetName>
    <ZipCode>62998</ZipCode>
    <CityName>תל אביב -יפו</CityName>
    <FullName>בועז קראוס</FullName>
    <Email>amit@boazkraus.co.il</Email>
    <IsPublicationProhibited>false</IsPublicationProhibited>
  </dt_LegalEntityDetails>
  <dt_LegalEntityDetails>
    <PartyID>2</PartyID>
    <PartyTypeID>1</PartyTypeID>
    <DecisionID>0</DecisionID>
    <FullName>יפה  ענבי</FullName>
    <IsPublicationProhibited>false</IsPublicationProhibited>
  </dt_LegalEntityDetails>
  <dt_CaseJudicalPersonActive>
    <CaseJudicalPerson>שופט, סגן הנשיא שאול שוחט, שופט נפתלי שילה, שופטת סיגל רסלר-זכאי</CaseJudicalPerson>
  </dt_CaseJudicalPersonActive>
  <dt_Sitting>
    <PreviousMeetingDate>2023-09-28T08:30:00+03:00</PreviousMeetingDate>
    <PreviousSittingTypeID>5</PreviousSittingTypeID>
    <PreviousMeetingDisplayName>שאול שוחט, נפתלי שילה, סיגל רסלר-זכאי</PreviousMeetingDisplayName>
    <PreviousMeetingUserUPN>022383467@GOV.IL, 053515011@GOV.IL, 059644039@GOV.IL</PreviousMeetingUserUPN>
  </dt_Sitting>
</DecisionTemplateDS>
</file>

<file path=customXml/itemProps1.xml><?xml version="1.0" encoding="utf-8"?>
<ds:datastoreItem xmlns:ds="http://schemas.openxmlformats.org/officeDocument/2006/customXml" ds:itemID="{2628BF66-0C4A-4082-959E-9D914D529CB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4266</Words>
  <Characters>21331</Characters>
  <Application>Microsoft Office Word</Application>
  <DocSecurity>0</DocSecurity>
  <Lines>177</Lines>
  <Paragraphs>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2023-12-07T06:17:00Z</dcterms:created>
  <dcterms:modified xsi:type="dcterms:W3CDTF">2023-12-07T06:17:00Z</dcterms:modified>
</cp:coreProperties>
</file>